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b/>
          <w:bCs/>
          <w:color w:val="8C8C8C"/>
          <w:sz w:val="20"/>
          <w:szCs w:val="20"/>
        </w:rPr>
        <w:t xml:space="preserve">FIȘĂ DE STUDIU DE CAZ   •   Caz 3/6</w:t>
      </w:r>
    </w:p>
    <w:p>
      <w:pPr>
        <w:spacing w:after="60" w:before="0"/>
      </w:pPr>
      <w:r>
        <w:rPr>
          <w:rFonts w:ascii="Calibri" w:cs="Calibri" w:eastAsia="Calibri" w:hAnsi="Calibri"/>
          <w:b/>
          <w:bCs/>
          <w:color w:val="1F2A44"/>
          <w:sz w:val="36"/>
          <w:szCs w:val="36"/>
        </w:rPr>
        <w:t xml:space="preserve">SIS II — Sistemul de Informații Schengen de a doua generație</w:t>
      </w:r>
    </w:p>
    <w:p>
      <w:pPr>
        <w:spacing w:after="120" w:before="60"/>
      </w:pPr>
      <w:r>
        <w:rPr>
          <w:rFonts w:ascii="Calibri" w:cs="Calibri" w:eastAsia="Calibri" w:hAnsi="Calibri"/>
          <w:color w:val="595959"/>
          <w:sz w:val="22"/>
          <w:szCs w:val="22"/>
        </w:rPr>
        <w:t xml:space="preserve">Metodologie studiată: </w:t>
      </w:r>
      <w:r>
        <w:rPr>
          <w:rFonts w:ascii="Calibri" w:cs="Calibri" w:eastAsia="Calibri" w:hAnsi="Calibri"/>
          <w:b/>
          <w:bCs/>
          <w:color w:val="B95C00"/>
          <w:sz w:val="22"/>
          <w:szCs w:val="22"/>
        </w:rPr>
        <w:t xml:space="preserve">TOGAF</w:t>
      </w:r>
    </w:p>
    <w:p>
      <w:pPr>
        <w:pBdr>
          <w:bottom w:val="single" w:color="B95C00" w:sz="24" w:space="1"/>
        </w:pBdr>
        <w:spacing w:after="180" w:before="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Cum folosiți această fișă</w:t>
      </w:r>
    </w:p>
    <w:p>
      <w:pPr>
        <w:spacing w:after="80" w:before="80" w:line="300"/>
        <w:jc w:val="both"/>
      </w:pPr>
      <w:r>
        <w:rPr>
          <w:rFonts w:ascii="Calibri" w:cs="Calibri" w:eastAsia="Calibri" w:hAnsi="Calibri"/>
          <w:b w:val="false"/>
          <w:bCs w:val="false"/>
          <w:i w:val="false"/>
          <w:iCs w:val="false"/>
          <w:sz w:val="22"/>
          <w:szCs w:val="22"/>
        </w:rPr>
        <w:t xml:space="preserve">Citiți cu atenție contextul, cronologia și simptomele proiectului. Informațiile de mai jos sunt fapte documentate public — nu conțin răspunsul. Sarcina dvs. este să identificați, folosind exclusiv aceste fapte, posibilele cauze ale eșecului și să propuneți cum metodologia TOGAF ar fi putut schimba traiectoria proiectului. Lucrați individual 10 minute, apoi în grup de 3–4 timp de 25 de minute, apoi prezentați concluziile în plen.</w:t>
      </w:r>
    </w:p>
    <w:p>
      <w:r>
        <w:rPr>
          <w:rFonts w:ascii="Calibri" w:cs="Calibri" w:eastAsia="Calibri" w:hAnsi="Calibri"/>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Nr. caz</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Caz 3</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Proiect</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SIS II — Sistemul de Informații Schengen de a doua generație</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Țară/program</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Uniunea Europeană (dezvoltare centralizată de către Comisia Europeană)</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Sector</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Securitate, control la frontieră</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Metodologie studiată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TOGAF</w:t>
            </w:r>
          </w:p>
        </w:tc>
      </w:tr>
      <w:tr>
        <w:tc>
          <w:tcPr>
            <w:tcW w:type="dxa" w:w="2400"/>
            <w:tcBorders>
              <w:top w:val="single" w:color="BFBFBF" w:sz="4"/>
              <w:left w:val="single" w:color="BFBFBF" w:sz="4"/>
              <w:bottom w:val="single" w:color="BFBFBF" w:sz="4"/>
              <w:right w:val="single" w:color="BFBFBF" w:sz="4"/>
            </w:tcBorders>
            <w:shd w:fill="FFF4E0" w:color="auto" w:val="clear"/>
            <w:tcMar>
              <w:top w:type="dxa" w:w="100"/>
              <w:left w:type="dxa" w:w="140"/>
              <w:bottom w:type="dxa" w:w="100"/>
              <w:right w:type="dxa" w:w="140"/>
            </w:tcMar>
          </w:tcPr>
          <w:p>
            <w:pPr>
              <w:jc w:val="left"/>
            </w:pPr>
            <w:r>
              <w:rPr>
                <w:rFonts w:ascii="Calibri" w:cs="Calibri" w:eastAsia="Calibri" w:hAnsi="Calibri"/>
                <w:b/>
                <w:bCs/>
                <w:color w:val="1F2A44"/>
                <w:sz w:val="20"/>
                <w:szCs w:val="20"/>
              </w:rPr>
              <w:t xml:space="preserve">Sursă primară</w:t>
            </w:r>
          </w:p>
        </w:tc>
        <w:tc>
          <w:tcPr>
            <w:tcW w:type="dxa" w:w="69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sz w:val="22"/>
                <w:szCs w:val="22"/>
              </w:rPr>
              <w:t xml:space="preserve">Curtea de Conturi Europeană — Raport special 3/2014: „Lessons from the European Commission's development of SIS II”</w:t>
            </w:r>
          </w:p>
        </w:tc>
      </w:tr>
    </w:tbl>
    <w:p>
      <w:r>
        <w:br w:type="page"/>
      </w:r>
    </w:p>
    <w:p>
      <w:pPr>
        <w:pStyle w:val="Heading1"/>
        <w:spacing w:after="180" w:before="360"/>
      </w:pPr>
      <w:r>
        <w:rPr>
          <w:rFonts w:ascii="Calibri" w:cs="Calibri" w:eastAsia="Calibri" w:hAnsi="Calibri"/>
          <w:b/>
          <w:bCs/>
          <w:color w:val="B95C00"/>
          <w:sz w:val="36"/>
          <w:szCs w:val="36"/>
        </w:rPr>
        <w:t xml:space="preserve">1. Contextul proiectului</w:t>
      </w:r>
    </w:p>
    <w:p>
      <w:pPr>
        <w:spacing w:after="80" w:before="80" w:line="300"/>
        <w:jc w:val="both"/>
      </w:pPr>
      <w:r>
        <w:rPr>
          <w:rFonts w:ascii="Calibri" w:cs="Calibri" w:eastAsia="Calibri" w:hAnsi="Calibri"/>
          <w:b w:val="false"/>
          <w:bCs w:val="false"/>
          <w:i w:val="false"/>
          <w:iCs w:val="false"/>
          <w:sz w:val="22"/>
          <w:szCs w:val="22"/>
        </w:rPr>
        <w:t xml:space="preserve">Sistemul de Informații Schengen (SIS) permite autorităților din țările Schengen să schimbe informații despre persoane urmărite, obiecte furate, documente pierdute sau refuzuri de intrare. SIS II (a doua generație) a fost conceput ca o actualizare majoră a SIS 1+, capabilă să gestioneze un volum mult mai mare de alerte, să includă biometrie (amprente, fotografii) și să suporte extinderea zonei Schengen.</w:t>
      </w:r>
    </w:p>
    <w:p>
      <w:pPr>
        <w:spacing w:after="80" w:before="80" w:line="300"/>
        <w:jc w:val="both"/>
      </w:pPr>
      <w:r>
        <w:rPr>
          <w:rFonts w:ascii="Calibri" w:cs="Calibri" w:eastAsia="Calibri" w:hAnsi="Calibri"/>
          <w:b w:val="false"/>
          <w:bCs w:val="false"/>
          <w:i w:val="false"/>
          <w:iCs w:val="false"/>
          <w:sz w:val="22"/>
          <w:szCs w:val="22"/>
        </w:rPr>
        <w:t xml:space="preserve">Dezvoltarea componentei centrale a fost încredințată Comisiei Europene. Contractul principal de dezvoltare a fost atribuit unui consorțiu condus de HP și Steria (denumit HPS). Asigurarea calității (QA) a fost contractată separat cu Unisys. Fiecare Stat Membru avea responsabilitatea propriei componente naționale (N.SIS II), care trebuia să se integreze cu componenta centrală.</w:t>
      </w:r>
    </w:p>
    <w:p>
      <w:pPr>
        <w:spacing w:after="80" w:before="80" w:line="300"/>
        <w:jc w:val="both"/>
      </w:pPr>
      <w:r>
        <w:rPr>
          <w:rFonts w:ascii="Calibri" w:cs="Calibri" w:eastAsia="Calibri" w:hAnsi="Calibri"/>
          <w:b w:val="false"/>
          <w:bCs w:val="false"/>
          <w:i w:val="false"/>
          <w:iCs w:val="false"/>
          <w:sz w:val="22"/>
          <w:szCs w:val="22"/>
        </w:rPr>
        <w:t xml:space="preserve">Lansarea inițială era planificată pentru 2007. Contractul principal avea o valoare inițială de aproximativ 20 milioane €.</w:t>
      </w:r>
    </w:p>
    <w:p>
      <w:pPr>
        <w:pStyle w:val="Heading1"/>
        <w:spacing w:after="180" w:before="360"/>
      </w:pPr>
      <w:r>
        <w:rPr>
          <w:rFonts w:ascii="Calibri" w:cs="Calibri" w:eastAsia="Calibri" w:hAnsi="Calibri"/>
          <w:b/>
          <w:bCs/>
          <w:color w:val="B95C00"/>
          <w:sz w:val="36"/>
          <w:szCs w:val="36"/>
        </w:rPr>
        <w:t xml:space="preserve">2. Cronologia evenimentelor</w:t>
      </w:r>
    </w:p>
    <w:p>
      <w:pPr>
        <w:spacing w:after="80" w:before="80" w:line="300"/>
        <w:jc w:val="both"/>
      </w:pPr>
      <w:r>
        <w:rPr>
          <w:rFonts w:ascii="Calibri" w:cs="Calibri" w:eastAsia="Calibri" w:hAnsi="Calibri"/>
          <w:b w:val="false"/>
          <w:bCs w:val="false"/>
          <w:i w:val="false"/>
          <w:iCs w:val="false"/>
          <w:sz w:val="22"/>
          <w:szCs w:val="22"/>
        </w:rPr>
        <w:t xml:space="preserve">Evenimentele-cheie, în ordine cronologică, documentate public:</w:t>
      </w:r>
    </w:p>
    <w:p>
      <w:pPr>
        <w:pStyle w:val="ListParagraph"/>
        <w:numPr>
          <w:ilvl w:val="0"/>
          <w:numId w:val="2"/>
        </w:numPr>
        <w:spacing w:after="40" w:before="40" w:line="300"/>
      </w:pPr>
      <w:r>
        <w:rPr>
          <w:rFonts w:ascii="Calibri" w:cs="Calibri" w:eastAsia="Calibri" w:hAnsi="Calibri"/>
          <w:sz w:val="22"/>
          <w:szCs w:val="22"/>
        </w:rPr>
        <w:t xml:space="preserve">2001–2005: Proiectare inițială; obiective funcționale stabilite.</w:t>
      </w:r>
    </w:p>
    <w:p>
      <w:pPr>
        <w:pStyle w:val="ListParagraph"/>
        <w:numPr>
          <w:ilvl w:val="0"/>
          <w:numId w:val="2"/>
        </w:numPr>
        <w:spacing w:after="40" w:before="40" w:line="300"/>
      </w:pPr>
      <w:r>
        <w:rPr>
          <w:rFonts w:ascii="Calibri" w:cs="Calibri" w:eastAsia="Calibri" w:hAnsi="Calibri"/>
          <w:sz w:val="22"/>
          <w:szCs w:val="22"/>
        </w:rPr>
        <w:t xml:space="preserve">2007: Data țintă inițială pentru go-live — nerealizată.</w:t>
      </w:r>
    </w:p>
    <w:p>
      <w:pPr>
        <w:pStyle w:val="ListParagraph"/>
        <w:numPr>
          <w:ilvl w:val="0"/>
          <w:numId w:val="2"/>
        </w:numPr>
        <w:spacing w:after="40" w:before="40" w:line="300"/>
      </w:pPr>
      <w:r>
        <w:rPr>
          <w:rFonts w:ascii="Calibri" w:cs="Calibri" w:eastAsia="Calibri" w:hAnsi="Calibri"/>
          <w:sz w:val="22"/>
          <w:szCs w:val="22"/>
        </w:rPr>
        <w:t xml:space="preserve">2008–2010: Prima serie de livrări de la HPS; teste de performanță eșuate repetat.</w:t>
      </w:r>
    </w:p>
    <w:p>
      <w:pPr>
        <w:pStyle w:val="ListParagraph"/>
        <w:numPr>
          <w:ilvl w:val="0"/>
          <w:numId w:val="2"/>
        </w:numPr>
        <w:spacing w:after="40" w:before="40" w:line="300"/>
      </w:pPr>
      <w:r>
        <w:rPr>
          <w:rFonts w:ascii="Calibri" w:cs="Calibri" w:eastAsia="Calibri" w:hAnsi="Calibri"/>
          <w:sz w:val="22"/>
          <w:szCs w:val="22"/>
        </w:rPr>
        <w:t xml:space="preserve">2009: Comisia face amendamente succesive la contractul principal, pentru cerințe noi.</w:t>
      </w:r>
    </w:p>
    <w:p>
      <w:pPr>
        <w:pStyle w:val="ListParagraph"/>
        <w:numPr>
          <w:ilvl w:val="0"/>
          <w:numId w:val="2"/>
        </w:numPr>
        <w:spacing w:after="40" w:before="40" w:line="300"/>
      </w:pPr>
      <w:r>
        <w:rPr>
          <w:rFonts w:ascii="Calibri" w:cs="Calibri" w:eastAsia="Calibri" w:hAnsi="Calibri"/>
          <w:sz w:val="22"/>
          <w:szCs w:val="22"/>
        </w:rPr>
        <w:t xml:space="preserve">Decembrie 2010: Contract major re-negociat cu HPS — obiectiv nou 2013. Noi cerințe adăugate (capacitate, performanță, testare).</w:t>
      </w:r>
    </w:p>
    <w:p>
      <w:pPr>
        <w:pStyle w:val="ListParagraph"/>
        <w:numPr>
          <w:ilvl w:val="0"/>
          <w:numId w:val="2"/>
        </w:numPr>
        <w:spacing w:after="40" w:before="40" w:line="300"/>
      </w:pPr>
      <w:r>
        <w:rPr>
          <w:rFonts w:ascii="Calibri" w:cs="Calibri" w:eastAsia="Calibri" w:hAnsi="Calibri"/>
          <w:sz w:val="22"/>
          <w:szCs w:val="22"/>
        </w:rPr>
        <w:t xml:space="preserve">2010: Comisia creează Global Project Management Board (GPMB) pentru a implica mai direct Statele Membre.</w:t>
      </w:r>
    </w:p>
    <w:p>
      <w:pPr>
        <w:pStyle w:val="ListParagraph"/>
        <w:numPr>
          <w:ilvl w:val="0"/>
          <w:numId w:val="2"/>
        </w:numPr>
        <w:spacing w:after="40" w:before="40" w:line="300"/>
      </w:pPr>
      <w:r>
        <w:rPr>
          <w:rFonts w:ascii="Calibri" w:cs="Calibri" w:eastAsia="Calibri" w:hAnsi="Calibri"/>
          <w:sz w:val="22"/>
          <w:szCs w:val="22"/>
        </w:rPr>
        <w:t xml:space="preserve">Valoarea contractului HPS crește de la 20 mil. € la 82 mil. € prin amendamente succesive (nu prin licitație nouă).</w:t>
      </w:r>
    </w:p>
    <w:p>
      <w:pPr>
        <w:pStyle w:val="ListParagraph"/>
        <w:numPr>
          <w:ilvl w:val="0"/>
          <w:numId w:val="2"/>
        </w:numPr>
        <w:spacing w:after="40" w:before="40" w:line="300"/>
      </w:pPr>
      <w:r>
        <w:rPr>
          <w:rFonts w:ascii="Calibri" w:cs="Calibri" w:eastAsia="Calibri" w:hAnsi="Calibri"/>
          <w:sz w:val="22"/>
          <w:szCs w:val="22"/>
        </w:rPr>
        <w:t xml:space="preserve">9 aprilie 2013: Go-live SIS II (aproximativ 6 ani peste planul inițial).</w:t>
      </w:r>
    </w:p>
    <w:p>
      <w:pPr>
        <w:pStyle w:val="ListParagraph"/>
        <w:numPr>
          <w:ilvl w:val="0"/>
          <w:numId w:val="2"/>
        </w:numPr>
        <w:spacing w:after="40" w:before="40" w:line="300"/>
      </w:pPr>
      <w:r>
        <w:rPr>
          <w:rFonts w:ascii="Calibri" w:cs="Calibri" w:eastAsia="Calibri" w:hAnsi="Calibri"/>
          <w:sz w:val="22"/>
          <w:szCs w:val="22"/>
        </w:rPr>
        <w:t xml:space="preserve">2014: Curtea de Conturi Europeană publică Raportul special 3/2014.</w:t>
      </w:r>
    </w:p>
    <w:p>
      <w:r>
        <w:br w:type="page"/>
      </w:r>
    </w:p>
    <w:p>
      <w:pPr>
        <w:pStyle w:val="Heading1"/>
        <w:spacing w:after="180" w:before="360"/>
      </w:pPr>
      <w:r>
        <w:rPr>
          <w:rFonts w:ascii="Calibri" w:cs="Calibri" w:eastAsia="Calibri" w:hAnsi="Calibri"/>
          <w:b/>
          <w:bCs/>
          <w:color w:val="B95C00"/>
          <w:sz w:val="36"/>
          <w:szCs w:val="36"/>
        </w:rPr>
        <w:t xml:space="preserve">3. Simptome documentate</w:t>
      </w:r>
    </w:p>
    <w:p>
      <w:pPr>
        <w:spacing w:after="80" w:before="80" w:line="300"/>
        <w:jc w:val="both"/>
      </w:pPr>
      <w:r>
        <w:rPr>
          <w:rFonts w:ascii="Calibri" w:cs="Calibri" w:eastAsia="Calibri" w:hAnsi="Calibri"/>
          <w:b w:val="false"/>
          <w:bCs w:val="false"/>
          <w:i w:val="false"/>
          <w:iCs w:val="false"/>
          <w:sz w:val="22"/>
          <w:szCs w:val="22"/>
        </w:rPr>
        <w:t xml:space="preserve">Ce s-a observat public — cifre, întârzieri, eșecuri operaționale:</w:t>
      </w:r>
    </w:p>
    <w:p>
      <w:pPr>
        <w:pStyle w:val="ListParagraph"/>
        <w:numPr>
          <w:ilvl w:val="0"/>
          <w:numId w:val="2"/>
        </w:numPr>
        <w:spacing w:after="40" w:before="40" w:line="300"/>
      </w:pPr>
      <w:r>
        <w:rPr>
          <w:rFonts w:ascii="Calibri" w:cs="Calibri" w:eastAsia="Calibri" w:hAnsi="Calibri"/>
          <w:sz w:val="22"/>
          <w:szCs w:val="22"/>
        </w:rPr>
        <w:t xml:space="preserve">Valoarea contractului principal de dezvoltare a crescut de la ~20 mil. € la ~82 mil. €, exclusiv prin amendamente contractuale succesive.</w:t>
      </w:r>
    </w:p>
    <w:p>
      <w:pPr>
        <w:pStyle w:val="ListParagraph"/>
        <w:numPr>
          <w:ilvl w:val="0"/>
          <w:numId w:val="2"/>
        </w:numPr>
        <w:spacing w:after="40" w:before="40" w:line="300"/>
      </w:pPr>
      <w:r>
        <w:rPr>
          <w:rFonts w:ascii="Calibri" w:cs="Calibri" w:eastAsia="Calibri" w:hAnsi="Calibri"/>
          <w:sz w:val="22"/>
          <w:szCs w:val="22"/>
        </w:rPr>
        <w:t xml:space="preserve">Costul total al componentei centrale SIS II (fără contribuțiile Statelor Membre) a depășit 100 mil. €.</w:t>
      </w:r>
    </w:p>
    <w:p>
      <w:pPr>
        <w:pStyle w:val="ListParagraph"/>
        <w:numPr>
          <w:ilvl w:val="0"/>
          <w:numId w:val="2"/>
        </w:numPr>
        <w:spacing w:after="40" w:before="40" w:line="300"/>
      </w:pPr>
      <w:r>
        <w:rPr>
          <w:rFonts w:ascii="Calibri" w:cs="Calibri" w:eastAsia="Calibri" w:hAnsi="Calibri"/>
          <w:sz w:val="22"/>
          <w:szCs w:val="22"/>
        </w:rPr>
        <w:t xml:space="preserve">Go-live a avut loc cu aproximativ 6 ani peste planul inițial (aprilie 2013 vs. 2007).</w:t>
      </w:r>
    </w:p>
    <w:p>
      <w:pPr>
        <w:pStyle w:val="ListParagraph"/>
        <w:numPr>
          <w:ilvl w:val="0"/>
          <w:numId w:val="2"/>
        </w:numPr>
        <w:spacing w:after="40" w:before="40" w:line="300"/>
      </w:pPr>
      <w:r>
        <w:rPr>
          <w:rFonts w:ascii="Calibri" w:cs="Calibri" w:eastAsia="Calibri" w:hAnsi="Calibri"/>
          <w:sz w:val="22"/>
          <w:szCs w:val="22"/>
        </w:rPr>
        <w:t xml:space="preserve">Testele de performanță pe primele livrări HPS au eșuat repetat, necesitând re-lucrare semnificativă.</w:t>
      </w:r>
    </w:p>
    <w:p>
      <w:pPr>
        <w:pStyle w:val="ListParagraph"/>
        <w:numPr>
          <w:ilvl w:val="0"/>
          <w:numId w:val="2"/>
        </w:numPr>
        <w:spacing w:after="40" w:before="40" w:line="300"/>
      </w:pPr>
      <w:r>
        <w:rPr>
          <w:rFonts w:ascii="Calibri" w:cs="Calibri" w:eastAsia="Calibri" w:hAnsi="Calibri"/>
          <w:sz w:val="22"/>
          <w:szCs w:val="22"/>
        </w:rPr>
        <w:t xml:space="preserve">Fiecare amendament contractual a adăugat cerințe noi — fără ca obiectivele originale să fie integral livrate.</w:t>
      </w:r>
    </w:p>
    <w:p>
      <w:pPr>
        <w:pStyle w:val="ListParagraph"/>
        <w:numPr>
          <w:ilvl w:val="0"/>
          <w:numId w:val="2"/>
        </w:numPr>
        <w:spacing w:after="40" w:before="40" w:line="300"/>
      </w:pPr>
      <w:r>
        <w:rPr>
          <w:rFonts w:ascii="Calibri" w:cs="Calibri" w:eastAsia="Calibri" w:hAnsi="Calibri"/>
          <w:sz w:val="22"/>
          <w:szCs w:val="22"/>
        </w:rPr>
        <w:t xml:space="preserve">Relațiile Comisie – State Membre au fost caracterizate inițial ca „dificile”, fără un forum tehnic structurat de decizie arhitecturală.</w:t>
      </w:r>
    </w:p>
    <w:p>
      <w:pPr>
        <w:pStyle w:val="ListParagraph"/>
        <w:numPr>
          <w:ilvl w:val="0"/>
          <w:numId w:val="2"/>
        </w:numPr>
        <w:spacing w:after="40" w:before="40" w:line="300"/>
      </w:pPr>
      <w:r>
        <w:rPr>
          <w:rFonts w:ascii="Calibri" w:cs="Calibri" w:eastAsia="Calibri" w:hAnsi="Calibri"/>
          <w:sz w:val="22"/>
          <w:szCs w:val="22"/>
        </w:rPr>
        <w:t xml:space="preserve">GPMB (Global Project Management Board) a fost creat ad-hoc, în 2010, după deja 3 ani de întârzieri, pentru a acoperi o lipsă structurală de coordonare.</w:t>
      </w:r>
    </w:p>
    <w:p>
      <w:pPr>
        <w:pStyle w:val="Heading1"/>
        <w:spacing w:after="180" w:before="360"/>
      </w:pPr>
      <w:r>
        <w:rPr>
          <w:rFonts w:ascii="Calibri" w:cs="Calibri" w:eastAsia="Calibri" w:hAnsi="Calibri"/>
          <w:b/>
          <w:bCs/>
          <w:color w:val="B95C00"/>
          <w:sz w:val="36"/>
          <w:szCs w:val="36"/>
        </w:rPr>
        <w:t xml:space="preserve">4. Observații factuale suplimentare</w:t>
      </w:r>
    </w:p>
    <w:p>
      <w:pPr>
        <w:spacing w:after="80" w:before="80" w:line="300"/>
        <w:jc w:val="both"/>
      </w:pPr>
      <w:r>
        <w:rPr>
          <w:rFonts w:ascii="Calibri" w:cs="Calibri" w:eastAsia="Calibri" w:hAnsi="Calibri"/>
          <w:b w:val="false"/>
          <w:bCs w:val="false"/>
          <w:i w:val="false"/>
          <w:iCs w:val="false"/>
          <w:sz w:val="22"/>
          <w:szCs w:val="22"/>
        </w:rPr>
        <w:t xml:space="preserve">Elemente de context pe care auditorii le-au consemnat. Nu sunt concluzii — sunt fapte observabile:</w:t>
      </w:r>
    </w:p>
    <w:p>
      <w:pPr>
        <w:pStyle w:val="ListParagraph"/>
        <w:numPr>
          <w:ilvl w:val="0"/>
          <w:numId w:val="2"/>
        </w:numPr>
        <w:spacing w:after="40" w:before="40" w:line="300"/>
      </w:pPr>
      <w:r>
        <w:rPr>
          <w:rFonts w:ascii="Calibri" w:cs="Calibri" w:eastAsia="Calibri" w:hAnsi="Calibri"/>
          <w:sz w:val="22"/>
          <w:szCs w:val="22"/>
        </w:rPr>
        <w:t xml:space="preserve">Când Comisia a preluat responsabilitatea principală pentru proiect, nu a fost efectuată o re-evaluare completă a cazului de business (business case) — costurile, beneficiile așteptate și alternativele nu au fost recalibrate.</w:t>
      </w:r>
    </w:p>
    <w:p>
      <w:pPr>
        <w:pStyle w:val="ListParagraph"/>
        <w:numPr>
          <w:ilvl w:val="0"/>
          <w:numId w:val="2"/>
        </w:numPr>
        <w:spacing w:after="40" w:before="40" w:line="300"/>
      </w:pPr>
      <w:r>
        <w:rPr>
          <w:rFonts w:ascii="Calibri" w:cs="Calibri" w:eastAsia="Calibri" w:hAnsi="Calibri"/>
          <w:sz w:val="22"/>
          <w:szCs w:val="22"/>
        </w:rPr>
        <w:t xml:space="preserve">Cerințele funcționale și non-funcționale s-au modificat continuu pe parcursul dezvoltării — fără a exista un document arhitectural stabil care să ancoreze aceste modificări.</w:t>
      </w:r>
    </w:p>
    <w:p>
      <w:pPr>
        <w:pStyle w:val="ListParagraph"/>
        <w:numPr>
          <w:ilvl w:val="0"/>
          <w:numId w:val="2"/>
        </w:numPr>
        <w:spacing w:after="40" w:before="40" w:line="300"/>
      </w:pPr>
      <w:r>
        <w:rPr>
          <w:rFonts w:ascii="Calibri" w:cs="Calibri" w:eastAsia="Calibri" w:hAnsi="Calibri"/>
          <w:sz w:val="22"/>
          <w:szCs w:val="22"/>
        </w:rPr>
        <w:t xml:space="preserve">Contractul cu HPS a fost gestionat ca un contract comercial tradițional, nu ca o relație construită în jurul unei arhitecturi țintă comune.</w:t>
      </w:r>
    </w:p>
    <w:p>
      <w:pPr>
        <w:pStyle w:val="ListParagraph"/>
        <w:numPr>
          <w:ilvl w:val="0"/>
          <w:numId w:val="2"/>
        </w:numPr>
        <w:spacing w:after="40" w:before="40" w:line="300"/>
      </w:pPr>
      <w:r>
        <w:rPr>
          <w:rFonts w:ascii="Calibri" w:cs="Calibri" w:eastAsia="Calibri" w:hAnsi="Calibri"/>
          <w:sz w:val="22"/>
          <w:szCs w:val="22"/>
        </w:rPr>
        <w:t xml:space="preserve">Nu a existat un set de Principii de Arhitectură agreate formal între Comisie și cele 28 de State Membre înainte de contractare.</w:t>
      </w:r>
    </w:p>
    <w:p>
      <w:pPr>
        <w:pStyle w:val="ListParagraph"/>
        <w:numPr>
          <w:ilvl w:val="0"/>
          <w:numId w:val="2"/>
        </w:numPr>
        <w:spacing w:after="40" w:before="40" w:line="300"/>
      </w:pPr>
      <w:r>
        <w:rPr>
          <w:rFonts w:ascii="Calibri" w:cs="Calibri" w:eastAsia="Calibri" w:hAnsi="Calibri"/>
          <w:sz w:val="22"/>
          <w:szCs w:val="22"/>
        </w:rPr>
        <w:t xml:space="preserve">Integrarea dintre componenta centrală SIS II și cele 28 de componente naționale N.SIS II a fost tratată ca problemă de interfață tehnică, nu ca problemă de coerență arhitecturală la nivel european.</w:t>
      </w:r>
    </w:p>
    <w:p>
      <w:pPr>
        <w:pStyle w:val="ListParagraph"/>
        <w:numPr>
          <w:ilvl w:val="0"/>
          <w:numId w:val="2"/>
        </w:numPr>
        <w:spacing w:after="40" w:before="40" w:line="300"/>
      </w:pPr>
      <w:r>
        <w:rPr>
          <w:rFonts w:ascii="Calibri" w:cs="Calibri" w:eastAsia="Calibri" w:hAnsi="Calibri"/>
          <w:sz w:val="22"/>
          <w:szCs w:val="22"/>
        </w:rPr>
        <w:t xml:space="preserve">Deciziile arhitecturale majore (biometrie, volum de alerte, mecanisme de replicare) au fost luate iterativ, fără un cadru de guvernanță arhitecturală.</w:t>
      </w:r>
    </w:p>
    <w:p>
      <w:r>
        <w:br w:type="page"/>
      </w:r>
    </w:p>
    <w:p>
      <w:pPr>
        <w:pStyle w:val="Heading1"/>
        <w:spacing w:after="180" w:before="360"/>
      </w:pPr>
      <w:r>
        <w:rPr>
          <w:rFonts w:ascii="Calibri" w:cs="Calibri" w:eastAsia="Calibri" w:hAnsi="Calibri"/>
          <w:b/>
          <w:bCs/>
          <w:color w:val="B95C00"/>
          <w:sz w:val="36"/>
          <w:szCs w:val="36"/>
        </w:rPr>
        <w:t xml:space="preserve">5. Sarcini de lucru</w:t>
      </w:r>
    </w:p>
    <w:p>
      <w:pPr>
        <w:spacing w:after="80" w:before="80" w:line="300"/>
        <w:jc w:val="both"/>
      </w:pPr>
      <w:r>
        <w:rPr>
          <w:rFonts w:ascii="Calibri" w:cs="Calibri" w:eastAsia="Calibri" w:hAnsi="Calibri"/>
          <w:b w:val="false"/>
          <w:bCs w:val="false"/>
          <w:i w:val="false"/>
          <w:iCs w:val="false"/>
          <w:sz w:val="22"/>
          <w:szCs w:val="22"/>
        </w:rPr>
        <w:t xml:space="preserve">Atenție: nu există un singur răspuns corect. Judecata dvs. profesională, argumentată pe baza faptelor, este ceea ce se evaluează. Nu trebuie să aveți cunoștințe prealabile detaliate despre toate instrumentele TOGAF — este suficient să aplicați principiile lui fundamentale.</w:t>
      </w:r>
    </w:p>
    <w:p>
      <w:pPr>
        <w:pStyle w:val="Heading2"/>
        <w:spacing w:after="120" w:before="280"/>
      </w:pPr>
      <w:r>
        <w:rPr>
          <w:rFonts w:ascii="Calibri" w:cs="Calibri" w:eastAsia="Calibri" w:hAnsi="Calibri"/>
          <w:b/>
          <w:bCs/>
          <w:color w:val="1F2A44"/>
          <w:sz w:val="28"/>
          <w:szCs w:val="28"/>
        </w:rPr>
        <w:t xml:space="preserve">Sarcina 1. Cauze-rădăcină potențiale (individual, 10 min)</w:t>
      </w:r>
    </w:p>
    <w:p>
      <w:pPr>
        <w:spacing w:after="80" w:before="80" w:line="300"/>
        <w:jc w:val="both"/>
      </w:pPr>
      <w:r>
        <w:rPr>
          <w:rFonts w:ascii="Calibri" w:cs="Calibri" w:eastAsia="Calibri" w:hAnsi="Calibri"/>
          <w:b w:val="false"/>
          <w:bCs w:val="false"/>
          <w:i w:val="false"/>
          <w:iCs w:val="false"/>
          <w:sz w:val="22"/>
          <w:szCs w:val="22"/>
        </w:rPr>
        <w:t xml:space="preserve">Pornind exclusiv de la faptele din secțiunile 1–4, identificați 3–5 cauze plauzibile ale eșecului proiectului. Pentru fiecare cauză, notați pe scurt faptul din fișă care vă susține ipoteza.</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w:t>
      </w:r>
    </w:p>
    <w:p>
      <w:pPr>
        <w:spacing w:after="80" w:before="0"/>
      </w:pPr>
      <w:r>
        <w:rPr>
          <w:rFonts w:ascii="Calibri" w:cs="Calibri" w:eastAsia="Calibri" w:hAnsi="Calibri"/>
          <w:i/>
          <w:iCs/>
          <w:color w:val="8C8C8C"/>
          <w:sz w:val="20"/>
          <w:szCs w:val="20"/>
        </w:rPr>
        <w:t xml:space="preserve">   Fapt(e) din fișă care susțin:</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2. Maparea pe TOGAF (grup, 15 min)</w:t>
      </w:r>
    </w:p>
    <w:p>
      <w:pPr>
        <w:spacing w:after="80" w:before="80" w:line="300"/>
        <w:jc w:val="both"/>
      </w:pPr>
      <w:r>
        <w:rPr>
          <w:rFonts w:ascii="Calibri" w:cs="Calibri" w:eastAsia="Calibri" w:hAnsi="Calibri"/>
          <w:b w:val="false"/>
          <w:bCs w:val="false"/>
          <w:i w:val="false"/>
          <w:iCs w:val="false"/>
          <w:sz w:val="22"/>
          <w:szCs w:val="22"/>
        </w:rPr>
        <w:t xml:space="preserve">Pentru fiecare cauză identificată la Sarcina 1, numiți cel puțin o practică, un principiu, un artefact sau un obiectiv specific din TOGAF care ar fi putut adresa direct acea cauză. Explicați pe scurt cum.</w:t>
      </w:r>
    </w:p>
    <w:p>
      <w:pPr>
        <w:spacing w:after="80" w:before="80" w:line="300"/>
        <w:jc w:val="both"/>
      </w:pPr>
      <w:r>
        <w:rPr>
          <w:rFonts w:ascii="Calibri" w:cs="Calibri" w:eastAsia="Calibri" w:hAnsi="Calibri"/>
          <w:b w:val="false"/>
          <w:bCs w:val="false"/>
          <w:i/>
          <w:iCs/>
          <w:sz w:val="22"/>
          <w:szCs w:val="22"/>
        </w:rPr>
        <w:t xml:space="preserve">Sugestii de repere pe care le puteți folosi (fără a vă limita la ele): TOGAF ADM (faze Preliminary, A–H), Architecture Vision, Architecture Principles, Baseline / Target / Transition Architecture, Gap Analysis, Architecture Repository, Architecture Contract, Architecture Governance, Architecture Board, Implementation Governance Model, Capability Assessment, Architecture Change Management.</w:t>
      </w:r>
    </w:p>
    <w:p>
      <w:r>
        <w:rPr>
          <w:rFonts w:ascii="Calibri" w:cs="Calibri" w:eastAsia="Calibri" w:hAnsi="Calibri"/>
          <w:sz w:val="4"/>
          <w:szCs w:val="4"/>
        </w:rPr>
        <w:t xml:space="preserve"/>
      </w:r>
    </w:p>
    <w:p>
      <w:pPr>
        <w:spacing w:after="40" w:before="140"/>
      </w:pPr>
      <w:r>
        <w:rPr>
          <w:rFonts w:ascii="Calibri" w:cs="Calibri" w:eastAsia="Calibri" w:hAnsi="Calibri"/>
          <w:b/>
          <w:bCs/>
          <w:color w:val="595959"/>
          <w:sz w:val="22"/>
          <w:szCs w:val="22"/>
        </w:rPr>
        <w:t xml:space="preserve">Cauza 1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2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3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4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40"/>
      </w:pPr>
      <w:r>
        <w:rPr>
          <w:rFonts w:ascii="Calibri" w:cs="Calibri" w:eastAsia="Calibri" w:hAnsi="Calibri"/>
          <w:b/>
          <w:bCs/>
          <w:color w:val="595959"/>
          <w:sz w:val="22"/>
          <w:szCs w:val="22"/>
        </w:rPr>
        <w:t xml:space="preserve">Cauza 5 → element TOGAF:</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r>
        <w:br w:type="page"/>
      </w:r>
    </w:p>
    <w:p>
      <w:pPr>
        <w:pStyle w:val="Heading2"/>
        <w:spacing w:after="120" w:before="280"/>
      </w:pPr>
      <w:r>
        <w:rPr>
          <w:rFonts w:ascii="Calibri" w:cs="Calibri" w:eastAsia="Calibri" w:hAnsi="Calibri"/>
          <w:b/>
          <w:bCs/>
          <w:color w:val="1F2A44"/>
          <w:sz w:val="28"/>
          <w:szCs w:val="28"/>
        </w:rPr>
        <w:t xml:space="preserve">Sarcina 3. Plan de corecție în 3 pași (grup, 10 min)</w:t>
      </w:r>
    </w:p>
    <w:p>
      <w:pPr>
        <w:spacing w:after="80" w:before="80" w:line="300"/>
        <w:jc w:val="both"/>
      </w:pPr>
      <w:r>
        <w:rPr>
          <w:rFonts w:ascii="Calibri" w:cs="Calibri" w:eastAsia="Calibri" w:hAnsi="Calibri"/>
          <w:b w:val="false"/>
          <w:bCs w:val="false"/>
          <w:i w:val="false"/>
          <w:iCs w:val="false"/>
          <w:sz w:val="22"/>
          <w:szCs w:val="22"/>
        </w:rPr>
        <w:t xml:space="preserve">Imaginați-vă că vi se cere să reluați proiectul din momentul de dinaintea primei crize majore. Propuneți 3 acțiuni concrete, în ordine de prioritate, prin care ați re-ancora proiectul pe TOGAF. Fiecare acțiune: o frază cu acțiunea, o frază cu rezultatul așteptat, o frază cu cine o execută.</w:t>
      </w:r>
    </w:p>
    <w:p>
      <w:r>
        <w:rPr>
          <w:rFonts w:ascii="Calibri" w:cs="Calibri" w:eastAsia="Calibri" w:hAnsi="Calibri"/>
          <w:sz w:val="4"/>
          <w:szCs w:val="4"/>
        </w:rPr>
        <w:t xml:space="preserve"/>
      </w:r>
    </w:p>
    <w:p>
      <w:pPr>
        <w:spacing w:after="40" w:before="160"/>
      </w:pPr>
      <w:r>
        <w:rPr>
          <w:rFonts w:ascii="Calibri" w:cs="Calibri" w:eastAsia="Calibri" w:hAnsi="Calibri"/>
          <w:b/>
          <w:bCs/>
          <w:color w:val="595959"/>
          <w:sz w:val="22"/>
          <w:szCs w:val="22"/>
        </w:rPr>
        <w:t xml:space="preserve">Pasul 1</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2</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spacing w:after="40" w:before="160"/>
      </w:pPr>
      <w:r>
        <w:rPr>
          <w:rFonts w:ascii="Calibri" w:cs="Calibri" w:eastAsia="Calibri" w:hAnsi="Calibri"/>
          <w:b/>
          <w:bCs/>
          <w:color w:val="595959"/>
          <w:sz w:val="22"/>
          <w:szCs w:val="22"/>
        </w:rPr>
        <w:t xml:space="preserve">Pasul 3</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Style w:val="Heading2"/>
        <w:spacing w:after="120" w:before="280"/>
      </w:pPr>
      <w:r>
        <w:rPr>
          <w:rFonts w:ascii="Calibri" w:cs="Calibri" w:eastAsia="Calibri" w:hAnsi="Calibri"/>
          <w:b/>
          <w:bCs/>
          <w:color w:val="1F2A44"/>
          <w:sz w:val="28"/>
          <w:szCs w:val="28"/>
        </w:rPr>
        <w:t xml:space="preserve">Reflecție finală (individual, 5 min)</w:t>
      </w:r>
    </w:p>
    <w:p>
      <w:pPr>
        <w:spacing w:after="80" w:before="80" w:line="300"/>
        <w:jc w:val="both"/>
      </w:pPr>
      <w:r>
        <w:rPr>
          <w:rFonts w:ascii="Calibri" w:cs="Calibri" w:eastAsia="Calibri" w:hAnsi="Calibri"/>
          <w:b w:val="false"/>
          <w:bCs w:val="false"/>
          <w:i w:val="false"/>
          <w:iCs w:val="false"/>
          <w:sz w:val="22"/>
          <w:szCs w:val="22"/>
        </w:rPr>
        <w:t xml:space="preserve">Notați un lucru din acest caz pe care l-ați aplica într-un proiect IT&amp;C al MAI și de ce:</w:t>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p>
      <w:pPr>
        <w:pBdr>
          <w:bottom w:val="single" w:color="BFBFBF" w:sz="6" w:space="1"/>
        </w:pBdr>
        <w:spacing w:after="160" w:before="160"/>
      </w:pPr>
      <w:r>
        <w:rPr>
          <w:rFonts w:ascii="Calibri" w:cs="Calibri" w:eastAsia="Calibri" w:hAnsi="Calibri"/>
          <w:sz w:val="2"/>
          <w:szCs w:val="2"/>
        </w:rP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8"/>
        <w:szCs w:val="18"/>
      </w:rPr>
      <w:t xml:space="preserve">Pagina </w:t>
    </w:r>
    <w:r>
      <w:rPr>
        <w:rFonts w:ascii="Calibri" w:cs="Calibri" w:eastAsia="Calibri" w:hAnsi="Calibri"/>
        <w:color w:val="595959"/>
        <w:sz w:val="18"/>
        <w:szCs w:val="18"/>
      </w:rPr>
      <w:fldChar w:fldCharType="begin"/>
      <w:instrText xml:space="preserve">PAGE</w:instrText>
      <w:fldChar w:fldCharType="separate"/>
      <w:fldChar w:fldCharType="end"/>
    </w:r>
    <w:r>
      <w:rPr>
        <w:rFonts w:ascii="Calibri" w:cs="Calibri" w:eastAsia="Calibri" w:hAnsi="Calibri"/>
        <w:color w:val="595959"/>
        <w:sz w:val="18"/>
        <w:szCs w:val="18"/>
      </w:rPr>
      <w:t xml:space="preserve"> din </w:t>
    </w:r>
    <w:r>
      <w:rPr>
        <w:rFonts w:ascii="Calibri" w:cs="Calibri" w:eastAsia="Calibri" w:hAnsi="Calibri"/>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95C00" w:sz="8" w:space="1"/>
      </w:pBdr>
      <w:jc w:val="right"/>
    </w:pPr>
    <w:r>
      <w:rPr>
        <w:rFonts w:ascii="Calibri" w:cs="Calibri" w:eastAsia="Calibri" w:hAnsi="Calibri"/>
        <w:color w:val="595959"/>
        <w:sz w:val="18"/>
        <w:szCs w:val="18"/>
      </w:rPr>
      <w:t xml:space="preserve">Fișă 3 — SIS II — Sistemul de Informații Schengen de a doua generație   •   MAI IT&amp;C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6"/>
      <w:szCs w:val="36"/>
    </w:rPr>
  </w:style>
  <w:style w:type="paragraph" w:styleId="Heading2">
    <w:name w:val="Heading 2"/>
    <w:basedOn w:val="Normal"/>
    <w:next w:val="Normal"/>
    <w:qFormat/>
    <w:pPr>
      <w:spacing w:after="120" w:before="280"/>
      <w:outlineLvl w:val="1"/>
    </w:pPr>
    <w:rPr>
      <w:rFonts w:ascii="Calibri" w:cs="Calibri" w:eastAsia="Calibri" w:hAnsi="Calibri"/>
      <w:b/>
      <w:bCs/>
      <w:color w:val="1F2A44"/>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3 — SIS II — Sistemul de Informații Schengen de a doua generație</dc:title>
  <dc:creator>Trainer MAI IT&amp;C</dc:creator>
  <dc:description>Material de curs MAI IT&amp;C 2026</dc:description>
  <cp:lastModifiedBy>Un-named</cp:lastModifiedBy>
  <cp:revision>1</cp:revision>
  <dcterms:created xsi:type="dcterms:W3CDTF">2026-04-18T11:20:25.217Z</dcterms:created>
  <dcterms:modified xsi:type="dcterms:W3CDTF">2026-04-18T11:20:25.217Z</dcterms:modified>
</cp:coreProperties>
</file>

<file path=docProps/custom.xml><?xml version="1.0" encoding="utf-8"?>
<Properties xmlns="http://schemas.openxmlformats.org/officeDocument/2006/custom-properties" xmlns:vt="http://schemas.openxmlformats.org/officeDocument/2006/docPropsVTypes"/>
</file>