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Calibri" w:cs="Calibri" w:eastAsia="Calibri" w:hAnsi="Calibri"/>
          <w:b/>
          <w:bCs/>
          <w:color w:val="8C8C8C"/>
          <w:sz w:val="20"/>
          <w:szCs w:val="20"/>
        </w:rPr>
        <w:t xml:space="preserve">FIȘĂ DE STUDIU DE CAZ   •   Caz 4/6</w:t>
      </w:r>
    </w:p>
    <w:p>
      <w:pPr>
        <w:spacing w:after="60" w:before="0"/>
      </w:pPr>
      <w:r>
        <w:rPr>
          <w:rFonts w:ascii="Calibri" w:cs="Calibri" w:eastAsia="Calibri" w:hAnsi="Calibri"/>
          <w:b/>
          <w:bCs/>
          <w:color w:val="1F2A44"/>
          <w:sz w:val="36"/>
          <w:szCs w:val="36"/>
        </w:rPr>
        <w:t xml:space="preserve">Sistemele IT ale Uniunii Vamale UE (Codul Vamal al Uniunii — UCC / Customs 2020)</w:t>
      </w:r>
    </w:p>
    <w:p>
      <w:pPr>
        <w:spacing w:after="120" w:before="60"/>
      </w:pPr>
      <w:r>
        <w:rPr>
          <w:rFonts w:ascii="Calibri" w:cs="Calibri" w:eastAsia="Calibri" w:hAnsi="Calibri"/>
          <w:color w:val="595959"/>
          <w:sz w:val="22"/>
          <w:szCs w:val="22"/>
        </w:rPr>
        <w:t xml:space="preserve">Metodologie studiată: </w:t>
      </w:r>
      <w:r>
        <w:rPr>
          <w:rFonts w:ascii="Calibri" w:cs="Calibri" w:eastAsia="Calibri" w:hAnsi="Calibri"/>
          <w:b/>
          <w:bCs/>
          <w:color w:val="B95C00"/>
          <w:sz w:val="22"/>
          <w:szCs w:val="22"/>
        </w:rPr>
        <w:t xml:space="preserve">TOGAF</w:t>
      </w:r>
    </w:p>
    <w:p>
      <w:pPr>
        <w:pBdr>
          <w:bottom w:val="single" w:color="B95C00" w:sz="24" w:space="1"/>
        </w:pBdr>
        <w:spacing w:after="180" w:before="0"/>
      </w:pPr>
      <w:r>
        <w:rPr>
          <w:rFonts w:ascii="Calibri" w:cs="Calibri" w:eastAsia="Calibri" w:hAnsi="Calibri"/>
          <w:sz w:val="2"/>
          <w:szCs w:val="2"/>
        </w:rPr>
        <w:t xml:space="preserve"/>
      </w:r>
    </w:p>
    <w:p>
      <w:pPr>
        <w:pStyle w:val="Heading2"/>
        <w:spacing w:after="120" w:before="280"/>
      </w:pPr>
      <w:r>
        <w:rPr>
          <w:rFonts w:ascii="Calibri" w:cs="Calibri" w:eastAsia="Calibri" w:hAnsi="Calibri"/>
          <w:b/>
          <w:bCs/>
          <w:color w:val="1F2A44"/>
          <w:sz w:val="28"/>
          <w:szCs w:val="28"/>
        </w:rPr>
        <w:t xml:space="preserve">Cum folosiți această fișă</w:t>
      </w:r>
    </w:p>
    <w:p>
      <w:pPr>
        <w:spacing w:after="80" w:before="80" w:line="300"/>
        <w:jc w:val="both"/>
      </w:pPr>
      <w:r>
        <w:rPr>
          <w:rFonts w:ascii="Calibri" w:cs="Calibri" w:eastAsia="Calibri" w:hAnsi="Calibri"/>
          <w:b w:val="false"/>
          <w:bCs w:val="false"/>
          <w:i w:val="false"/>
          <w:iCs w:val="false"/>
          <w:sz w:val="22"/>
          <w:szCs w:val="22"/>
        </w:rPr>
        <w:t xml:space="preserve">Citiți cu atenție contextul, cronologia și simptomele proiectului. Informațiile de mai jos sunt fapte documentate public — nu conțin răspunsul. Sarcina dvs. este să identificați, folosind exclusiv aceste fapte, posibilele cauze ale eșecului și să propuneți cum metodologia TOGAF ar fi putut schimba traiectoria proiectului. Lucrați individual 10 minute, apoi în grup de 3–4 timp de 25 de minute, apoi prezentați concluziile în plen.</w:t>
      </w:r>
    </w:p>
    <w:p>
      <w:r>
        <w:rPr>
          <w:rFonts w:ascii="Calibri" w:cs="Calibri" w:eastAsia="Calibri" w:hAnsi="Calibri"/>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Nr. caz</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Caz 4</w:t>
            </w:r>
          </w:p>
        </w:tc>
      </w:tr>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Proiect</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Sistemele IT ale Uniunii Vamale UE (Codul Vamal al Uniunii — UCC / Customs 2020)</w:t>
            </w:r>
          </w:p>
        </w:tc>
      </w:tr>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Țară/program</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Uniunea Europeană (~17 sisteme interconectate între Comisie și 27 State Membre)</w:t>
            </w:r>
          </w:p>
        </w:tc>
      </w:tr>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Sector</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Vamă, comerț internațional</w:t>
            </w:r>
          </w:p>
        </w:tc>
      </w:tr>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Metodologie studiată</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TOGAF</w:t>
            </w:r>
          </w:p>
        </w:tc>
      </w:tr>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Sursă primară</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Curtea de Conturi Europeană — Raport special 26/2018: „A series of delays in Customs IT systems: what went wrong?”</w:t>
            </w:r>
          </w:p>
        </w:tc>
      </w:tr>
    </w:tbl>
    <w:p>
      <w:r>
        <w:br w:type="page"/>
      </w:r>
    </w:p>
    <w:p>
      <w:pPr>
        <w:pStyle w:val="Heading1"/>
        <w:spacing w:after="180" w:before="360"/>
      </w:pPr>
      <w:r>
        <w:rPr>
          <w:rFonts w:ascii="Calibri" w:cs="Calibri" w:eastAsia="Calibri" w:hAnsi="Calibri"/>
          <w:b/>
          <w:bCs/>
          <w:color w:val="B95C00"/>
          <w:sz w:val="36"/>
          <w:szCs w:val="36"/>
        </w:rPr>
        <w:t xml:space="preserve">1. Contextul proiectului</w:t>
      </w:r>
    </w:p>
    <w:p>
      <w:pPr>
        <w:spacing w:after="80" w:before="80" w:line="300"/>
        <w:jc w:val="both"/>
      </w:pPr>
      <w:r>
        <w:rPr>
          <w:rFonts w:ascii="Calibri" w:cs="Calibri" w:eastAsia="Calibri" w:hAnsi="Calibri"/>
          <w:b w:val="false"/>
          <w:bCs w:val="false"/>
          <w:i w:val="false"/>
          <w:iCs w:val="false"/>
          <w:sz w:val="22"/>
          <w:szCs w:val="22"/>
        </w:rPr>
        <w:t xml:space="preserve">Codul Vamal al Uniunii (Union Customs Code, UCC) a intrat în vigoare la 1 mai 2016 și a impus un termen de 31 decembrie 2020 pentru finalizarea unui set de aproximativ 17 sisteme IT transeuropene interconectate. Acestea acoperă: declarații vamale (import, export, tranzit), garanții, decizii vamale, operatori economici autorizați (AEO), înregistrarea operatorilor economici (EORI), sisteme de informații și multe altele.</w:t>
      </w:r>
    </w:p>
    <w:p>
      <w:pPr>
        <w:spacing w:after="80" w:before="80" w:line="300"/>
        <w:jc w:val="both"/>
      </w:pPr>
      <w:r>
        <w:rPr>
          <w:rFonts w:ascii="Calibri" w:cs="Calibri" w:eastAsia="Calibri" w:hAnsi="Calibri"/>
          <w:b w:val="false"/>
          <w:bCs w:val="false"/>
          <w:i w:val="false"/>
          <w:iCs w:val="false"/>
          <w:sz w:val="22"/>
          <w:szCs w:val="22"/>
        </w:rPr>
        <w:t xml:space="preserve">Arhitectura este federată: o parte din componente sunt dezvoltate de Comisia Europeană (componenta „Union”), iar restul sunt dezvoltate de fiecare dintre cele 27 de State Membre (componenta „national”). Sistemele trebuie să comunice prin interfețe standard pentru a asigura o vamă uniformă la toate punctele de intrare în UE.</w:t>
      </w:r>
    </w:p>
    <w:p>
      <w:pPr>
        <w:spacing w:after="80" w:before="80" w:line="300"/>
        <w:jc w:val="both"/>
      </w:pPr>
      <w:r>
        <w:rPr>
          <w:rFonts w:ascii="Calibri" w:cs="Calibri" w:eastAsia="Calibri" w:hAnsi="Calibri"/>
          <w:b w:val="false"/>
          <w:bCs w:val="false"/>
          <w:i w:val="false"/>
          <w:iCs w:val="false"/>
          <w:sz w:val="22"/>
          <w:szCs w:val="22"/>
        </w:rPr>
        <w:t xml:space="preserve">Finanțarea principală este asigurată prin programul Customs 2020 (și succesorul său). Guvernanța este exercitată de Comisie împreună cu Consiliul și cu grupuri de experți naționali, printr-un lanț decizional care include mai multe niveluri de comitete.</w:t>
      </w:r>
    </w:p>
    <w:p>
      <w:pPr>
        <w:pStyle w:val="Heading1"/>
        <w:spacing w:after="180" w:before="360"/>
      </w:pPr>
      <w:r>
        <w:rPr>
          <w:rFonts w:ascii="Calibri" w:cs="Calibri" w:eastAsia="Calibri" w:hAnsi="Calibri"/>
          <w:b/>
          <w:bCs/>
          <w:color w:val="B95C00"/>
          <w:sz w:val="36"/>
          <w:szCs w:val="36"/>
        </w:rPr>
        <w:t xml:space="preserve">2. Cronologia evenimentelor</w:t>
      </w:r>
    </w:p>
    <w:p>
      <w:pPr>
        <w:spacing w:after="80" w:before="80" w:line="300"/>
        <w:jc w:val="both"/>
      </w:pPr>
      <w:r>
        <w:rPr>
          <w:rFonts w:ascii="Calibri" w:cs="Calibri" w:eastAsia="Calibri" w:hAnsi="Calibri"/>
          <w:b w:val="false"/>
          <w:bCs w:val="false"/>
          <w:i w:val="false"/>
          <w:iCs w:val="false"/>
          <w:sz w:val="22"/>
          <w:szCs w:val="22"/>
        </w:rPr>
        <w:t xml:space="preserve">Evenimentele-cheie, în ordine cronologică, documentate public:</w:t>
      </w:r>
    </w:p>
    <w:p>
      <w:pPr>
        <w:pStyle w:val="ListParagraph"/>
        <w:numPr>
          <w:ilvl w:val="0"/>
          <w:numId w:val="2"/>
        </w:numPr>
        <w:spacing w:after="40" w:before="40" w:line="300"/>
      </w:pPr>
      <w:r>
        <w:rPr>
          <w:rFonts w:ascii="Calibri" w:cs="Calibri" w:eastAsia="Calibri" w:hAnsi="Calibri"/>
          <w:sz w:val="22"/>
          <w:szCs w:val="22"/>
        </w:rPr>
        <w:t xml:space="preserve">1 mai 2016: UCC intră în vigoare; termen impus: 31 decembrie 2020 pentru finalizarea tuturor sistemelor.</w:t>
      </w:r>
    </w:p>
    <w:p>
      <w:pPr>
        <w:pStyle w:val="ListParagraph"/>
        <w:numPr>
          <w:ilvl w:val="0"/>
          <w:numId w:val="2"/>
        </w:numPr>
        <w:spacing w:after="40" w:before="40" w:line="300"/>
      </w:pPr>
      <w:r>
        <w:rPr>
          <w:rFonts w:ascii="Calibri" w:cs="Calibri" w:eastAsia="Calibri" w:hAnsi="Calibri"/>
          <w:sz w:val="22"/>
          <w:szCs w:val="22"/>
        </w:rPr>
        <w:t xml:space="preserve">2016–2018: Comisia și Statele Membre încep dezvoltarea componentelor Union și national; apar primele semnale de întârziere.</w:t>
      </w:r>
    </w:p>
    <w:p>
      <w:pPr>
        <w:pStyle w:val="ListParagraph"/>
        <w:numPr>
          <w:ilvl w:val="0"/>
          <w:numId w:val="2"/>
        </w:numPr>
        <w:spacing w:after="40" w:before="40" w:line="300"/>
      </w:pPr>
      <w:r>
        <w:rPr>
          <w:rFonts w:ascii="Calibri" w:cs="Calibri" w:eastAsia="Calibri" w:hAnsi="Calibri"/>
          <w:sz w:val="22"/>
          <w:szCs w:val="22"/>
        </w:rPr>
        <w:t xml:space="preserve">Octombrie 2018: Curtea de Conturi Europeană publică Raportul special 26/2018; constată că o parte din sisteme nu vor fi disponibile la termenul 2020.</w:t>
      </w:r>
    </w:p>
    <w:p>
      <w:pPr>
        <w:pStyle w:val="ListParagraph"/>
        <w:numPr>
          <w:ilvl w:val="0"/>
          <w:numId w:val="2"/>
        </w:numPr>
        <w:spacing w:after="40" w:before="40" w:line="300"/>
      </w:pPr>
      <w:r>
        <w:rPr>
          <w:rFonts w:ascii="Calibri" w:cs="Calibri" w:eastAsia="Calibri" w:hAnsi="Calibri"/>
          <w:sz w:val="22"/>
          <w:szCs w:val="22"/>
        </w:rPr>
        <w:t xml:space="preserve">2019: Propunere de modificare a UCC pentru extinderea termenelor dincolo de 2020.</w:t>
      </w:r>
    </w:p>
    <w:p>
      <w:pPr>
        <w:pStyle w:val="ListParagraph"/>
        <w:numPr>
          <w:ilvl w:val="0"/>
          <w:numId w:val="2"/>
        </w:numPr>
        <w:spacing w:after="40" w:before="40" w:line="300"/>
      </w:pPr>
      <w:r>
        <w:rPr>
          <w:rFonts w:ascii="Calibri" w:cs="Calibri" w:eastAsia="Calibri" w:hAnsi="Calibri"/>
          <w:sz w:val="22"/>
          <w:szCs w:val="22"/>
        </w:rPr>
        <w:t xml:space="preserve">2020: Termenul original UCC nu este respectat pentru mai multe sisteme.</w:t>
      </w:r>
    </w:p>
    <w:p>
      <w:pPr>
        <w:pStyle w:val="ListParagraph"/>
        <w:numPr>
          <w:ilvl w:val="0"/>
          <w:numId w:val="2"/>
        </w:numPr>
        <w:spacing w:after="40" w:before="40" w:line="300"/>
      </w:pPr>
      <w:r>
        <w:rPr>
          <w:rFonts w:ascii="Calibri" w:cs="Calibri" w:eastAsia="Calibri" w:hAnsi="Calibri"/>
          <w:sz w:val="22"/>
          <w:szCs w:val="22"/>
        </w:rPr>
        <w:t xml:space="preserve">2023: Propunere COM(2023) 258 final pentru reformarea UCC și revizuirea calendarului — unele sisteme rămân programate pentru 2025 sau ulterior.</w:t>
      </w:r>
    </w:p>
    <w:p>
      <w:pPr>
        <w:pStyle w:val="ListParagraph"/>
        <w:numPr>
          <w:ilvl w:val="0"/>
          <w:numId w:val="2"/>
        </w:numPr>
        <w:spacing w:after="40" w:before="40" w:line="300"/>
      </w:pPr>
      <w:r>
        <w:rPr>
          <w:rFonts w:ascii="Calibri" w:cs="Calibri" w:eastAsia="Calibri" w:hAnsi="Calibri"/>
          <w:sz w:val="22"/>
          <w:szCs w:val="22"/>
        </w:rPr>
        <w:t xml:space="preserve">Evaluarea ECA din 2018 avertizase deja că și termenul re-programat (2025) este „la risc de a nu fi respectat”.</w:t>
      </w:r>
    </w:p>
    <w:p>
      <w:r>
        <w:br w:type="page"/>
      </w:r>
    </w:p>
    <w:p>
      <w:pPr>
        <w:pStyle w:val="Heading1"/>
        <w:spacing w:after="180" w:before="360"/>
      </w:pPr>
      <w:r>
        <w:rPr>
          <w:rFonts w:ascii="Calibri" w:cs="Calibri" w:eastAsia="Calibri" w:hAnsi="Calibri"/>
          <w:b/>
          <w:bCs/>
          <w:color w:val="B95C00"/>
          <w:sz w:val="36"/>
          <w:szCs w:val="36"/>
        </w:rPr>
        <w:t xml:space="preserve">3. Simptome documentate</w:t>
      </w:r>
    </w:p>
    <w:p>
      <w:pPr>
        <w:spacing w:after="80" w:before="80" w:line="300"/>
        <w:jc w:val="both"/>
      </w:pPr>
      <w:r>
        <w:rPr>
          <w:rFonts w:ascii="Calibri" w:cs="Calibri" w:eastAsia="Calibri" w:hAnsi="Calibri"/>
          <w:b w:val="false"/>
          <w:bCs w:val="false"/>
          <w:i w:val="false"/>
          <w:iCs w:val="false"/>
          <w:sz w:val="22"/>
          <w:szCs w:val="22"/>
        </w:rPr>
        <w:t xml:space="preserve">Ce s-a observat public — cifre, întârzieri, eșecuri operaționale:</w:t>
      </w:r>
    </w:p>
    <w:p>
      <w:pPr>
        <w:pStyle w:val="ListParagraph"/>
        <w:numPr>
          <w:ilvl w:val="0"/>
          <w:numId w:val="2"/>
        </w:numPr>
        <w:spacing w:after="40" w:before="40" w:line="300"/>
      </w:pPr>
      <w:r>
        <w:rPr>
          <w:rFonts w:ascii="Calibri" w:cs="Calibri" w:eastAsia="Calibri" w:hAnsi="Calibri"/>
          <w:sz w:val="22"/>
          <w:szCs w:val="22"/>
        </w:rPr>
        <w:t xml:space="preserve">Din cele ~17 sisteme IT prevăzute, o parte semnificativă nu vor fi disponibile la termenul 2020 stabilit de UCC.</w:t>
      </w:r>
    </w:p>
    <w:p>
      <w:pPr>
        <w:pStyle w:val="ListParagraph"/>
        <w:numPr>
          <w:ilvl w:val="0"/>
          <w:numId w:val="2"/>
        </w:numPr>
        <w:spacing w:after="40" w:before="40" w:line="300"/>
      </w:pPr>
      <w:r>
        <w:rPr>
          <w:rFonts w:ascii="Calibri" w:cs="Calibri" w:eastAsia="Calibri" w:hAnsi="Calibri"/>
          <w:sz w:val="22"/>
          <w:szCs w:val="22"/>
        </w:rPr>
        <w:t xml:space="preserve">Termenul re-programat prin modificările UCC (unele componente spre 2025) era evaluat de Curte ca „la risc de a nu fi respectat”.</w:t>
      </w:r>
    </w:p>
    <w:p>
      <w:pPr>
        <w:pStyle w:val="ListParagraph"/>
        <w:numPr>
          <w:ilvl w:val="0"/>
          <w:numId w:val="2"/>
        </w:numPr>
        <w:spacing w:after="40" w:before="40" w:line="300"/>
      </w:pPr>
      <w:r>
        <w:rPr>
          <w:rFonts w:ascii="Calibri" w:cs="Calibri" w:eastAsia="Calibri" w:hAnsi="Calibri"/>
          <w:sz w:val="22"/>
          <w:szCs w:val="22"/>
        </w:rPr>
        <w:t xml:space="preserve">Scopul proiectelor individuale s-a modificat repetat pe parcursul dezvoltării, afectând interdependențele dintre sisteme.</w:t>
      </w:r>
    </w:p>
    <w:p>
      <w:pPr>
        <w:pStyle w:val="ListParagraph"/>
        <w:numPr>
          <w:ilvl w:val="0"/>
          <w:numId w:val="2"/>
        </w:numPr>
        <w:spacing w:after="40" w:before="40" w:line="300"/>
      </w:pPr>
      <w:r>
        <w:rPr>
          <w:rFonts w:ascii="Calibri" w:cs="Calibri" w:eastAsia="Calibri" w:hAnsi="Calibri"/>
          <w:sz w:val="22"/>
          <w:szCs w:val="22"/>
        </w:rPr>
        <w:t xml:space="preserve">Resursele alocate (financiare și umane), atât de Comisie, cât și de Statele Membre, au fost subestimate sistematic.</w:t>
      </w:r>
    </w:p>
    <w:p>
      <w:pPr>
        <w:pStyle w:val="ListParagraph"/>
        <w:numPr>
          <w:ilvl w:val="0"/>
          <w:numId w:val="2"/>
        </w:numPr>
        <w:spacing w:after="40" w:before="40" w:line="300"/>
      </w:pPr>
      <w:r>
        <w:rPr>
          <w:rFonts w:ascii="Calibri" w:cs="Calibri" w:eastAsia="Calibri" w:hAnsi="Calibri"/>
          <w:sz w:val="22"/>
          <w:szCs w:val="22"/>
        </w:rPr>
        <w:t xml:space="preserve">Procesul decizional trece prin niveluri multiple (Comisie → grupuri de lucru → Consiliu → comitete tehnice naționale), prelungind semnificativ durata fiecărei schimbări tehnice.</w:t>
      </w:r>
    </w:p>
    <w:p>
      <w:pPr>
        <w:pStyle w:val="ListParagraph"/>
        <w:numPr>
          <w:ilvl w:val="0"/>
          <w:numId w:val="2"/>
        </w:numPr>
        <w:spacing w:after="40" w:before="40" w:line="300"/>
      </w:pPr>
      <w:r>
        <w:rPr>
          <w:rFonts w:ascii="Calibri" w:cs="Calibri" w:eastAsia="Calibri" w:hAnsi="Calibri"/>
          <w:sz w:val="22"/>
          <w:szCs w:val="22"/>
        </w:rPr>
        <w:t xml:space="preserve">Programul Customs 2020 nu a stabilit obiective IT precise la nivel de program; obiectivele au fost lăsate în mare măsură pe seama fiecărui proiect individual.</w:t>
      </w:r>
    </w:p>
    <w:p>
      <w:pPr>
        <w:pStyle w:val="ListParagraph"/>
        <w:numPr>
          <w:ilvl w:val="0"/>
          <w:numId w:val="2"/>
        </w:numPr>
        <w:spacing w:after="40" w:before="40" w:line="300"/>
      </w:pPr>
      <w:r>
        <w:rPr>
          <w:rFonts w:ascii="Calibri" w:cs="Calibri" w:eastAsia="Calibri" w:hAnsi="Calibri"/>
          <w:sz w:val="22"/>
          <w:szCs w:val="22"/>
        </w:rPr>
        <w:t xml:space="preserve">Nu există o raportare consolidată unică privind starea întregului portofoliu de 17 sisteme și dependențele dintre ele.</w:t>
      </w:r>
    </w:p>
    <w:p>
      <w:pPr>
        <w:pStyle w:val="Heading1"/>
        <w:spacing w:after="180" w:before="360"/>
      </w:pPr>
      <w:r>
        <w:rPr>
          <w:rFonts w:ascii="Calibri" w:cs="Calibri" w:eastAsia="Calibri" w:hAnsi="Calibri"/>
          <w:b/>
          <w:bCs/>
          <w:color w:val="B95C00"/>
          <w:sz w:val="36"/>
          <w:szCs w:val="36"/>
        </w:rPr>
        <w:t xml:space="preserve">4. Observații factuale suplimentare</w:t>
      </w:r>
    </w:p>
    <w:p>
      <w:pPr>
        <w:spacing w:after="80" w:before="80" w:line="300"/>
        <w:jc w:val="both"/>
      </w:pPr>
      <w:r>
        <w:rPr>
          <w:rFonts w:ascii="Calibri" w:cs="Calibri" w:eastAsia="Calibri" w:hAnsi="Calibri"/>
          <w:b w:val="false"/>
          <w:bCs w:val="false"/>
          <w:i w:val="false"/>
          <w:iCs w:val="false"/>
          <w:sz w:val="22"/>
          <w:szCs w:val="22"/>
        </w:rPr>
        <w:t xml:space="preserve">Elemente de context pe care auditorii le-au consemnat. Nu sunt concluzii — sunt fapte observabile:</w:t>
      </w:r>
    </w:p>
    <w:p>
      <w:pPr>
        <w:pStyle w:val="ListParagraph"/>
        <w:numPr>
          <w:ilvl w:val="0"/>
          <w:numId w:val="2"/>
        </w:numPr>
        <w:spacing w:after="40" w:before="40" w:line="300"/>
      </w:pPr>
      <w:r>
        <w:rPr>
          <w:rFonts w:ascii="Calibri" w:cs="Calibri" w:eastAsia="Calibri" w:hAnsi="Calibri"/>
          <w:sz w:val="22"/>
          <w:szCs w:val="22"/>
        </w:rPr>
        <w:t xml:space="preserve">Arhitectura portofoliului — relațiile dintre cele 17 sisteme, dependențele lor, traseul datelor vamale prin ansamblu — nu este documentată și întreținută ca artefact viu, gestionat la nivel de program.</w:t>
      </w:r>
    </w:p>
    <w:p>
      <w:pPr>
        <w:pStyle w:val="ListParagraph"/>
        <w:numPr>
          <w:ilvl w:val="0"/>
          <w:numId w:val="2"/>
        </w:numPr>
        <w:spacing w:after="40" w:before="40" w:line="300"/>
      </w:pPr>
      <w:r>
        <w:rPr>
          <w:rFonts w:ascii="Calibri" w:cs="Calibri" w:eastAsia="Calibri" w:hAnsi="Calibri"/>
          <w:sz w:val="22"/>
          <w:szCs w:val="22"/>
        </w:rPr>
        <w:t xml:space="preserve">Fiecare stat membru implementează componenta sa națională cu grad mare de libertate în interpretarea cerințelor UCC.</w:t>
      </w:r>
    </w:p>
    <w:p>
      <w:pPr>
        <w:pStyle w:val="ListParagraph"/>
        <w:numPr>
          <w:ilvl w:val="0"/>
          <w:numId w:val="2"/>
        </w:numPr>
        <w:spacing w:after="40" w:before="40" w:line="300"/>
      </w:pPr>
      <w:r>
        <w:rPr>
          <w:rFonts w:ascii="Calibri" w:cs="Calibri" w:eastAsia="Calibri" w:hAnsi="Calibri"/>
          <w:sz w:val="22"/>
          <w:szCs w:val="22"/>
        </w:rPr>
        <w:t xml:space="preserve">Nu există o hartă publică („Baseline Architecture”) a stării actuale a celor 17 sisteme la fiecare moment — nici o „Target Architecture” pentru 2020, și nici „Transition Architectures” intermediare pentru 2017, 2018, 2019.</w:t>
      </w:r>
    </w:p>
    <w:p>
      <w:pPr>
        <w:pStyle w:val="ListParagraph"/>
        <w:numPr>
          <w:ilvl w:val="0"/>
          <w:numId w:val="2"/>
        </w:numPr>
        <w:spacing w:after="40" w:before="40" w:line="300"/>
      </w:pPr>
      <w:r>
        <w:rPr>
          <w:rFonts w:ascii="Calibri" w:cs="Calibri" w:eastAsia="Calibri" w:hAnsi="Calibri"/>
          <w:sz w:val="22"/>
          <w:szCs w:val="22"/>
        </w:rPr>
        <w:t xml:space="preserve">Decizia de modificare a scopului unui sistem individual nu declanșează automat o analiză de impact asupra celorlalte 16.</w:t>
      </w:r>
    </w:p>
    <w:p>
      <w:pPr>
        <w:pStyle w:val="ListParagraph"/>
        <w:numPr>
          <w:ilvl w:val="0"/>
          <w:numId w:val="2"/>
        </w:numPr>
        <w:spacing w:after="40" w:before="40" w:line="300"/>
      </w:pPr>
      <w:r>
        <w:rPr>
          <w:rFonts w:ascii="Calibri" w:cs="Calibri" w:eastAsia="Calibri" w:hAnsi="Calibri"/>
          <w:sz w:val="22"/>
          <w:szCs w:val="22"/>
        </w:rPr>
        <w:t xml:space="preserve">Estimările de resurse sunt făcute proiect cu proiect, nu la nivel de portofoliu; efectele de cumul (același expert este cerut simultan pe 3 sisteme) nu sunt vizibile.</w:t>
      </w:r>
    </w:p>
    <w:p>
      <w:pPr>
        <w:pStyle w:val="ListParagraph"/>
        <w:numPr>
          <w:ilvl w:val="0"/>
          <w:numId w:val="2"/>
        </w:numPr>
        <w:spacing w:after="40" w:before="40" w:line="300"/>
      </w:pPr>
      <w:r>
        <w:rPr>
          <w:rFonts w:ascii="Calibri" w:cs="Calibri" w:eastAsia="Calibri" w:hAnsi="Calibri"/>
          <w:sz w:val="22"/>
          <w:szCs w:val="22"/>
        </w:rPr>
        <w:t xml:space="preserve">Nivelurile multiple de guvernanță (tehnică, operațională, politică) nu sunt separate: aceleași forumuri dezbat arhitectura și politica vamală simultan.</w:t>
      </w:r>
    </w:p>
    <w:p>
      <w:r>
        <w:br w:type="page"/>
      </w:r>
    </w:p>
    <w:p>
      <w:pPr>
        <w:pStyle w:val="Heading1"/>
        <w:spacing w:after="180" w:before="360"/>
      </w:pPr>
      <w:r>
        <w:rPr>
          <w:rFonts w:ascii="Calibri" w:cs="Calibri" w:eastAsia="Calibri" w:hAnsi="Calibri"/>
          <w:b/>
          <w:bCs/>
          <w:color w:val="B95C00"/>
          <w:sz w:val="36"/>
          <w:szCs w:val="36"/>
        </w:rPr>
        <w:t xml:space="preserve">5. Sarcini de lucru</w:t>
      </w:r>
    </w:p>
    <w:p>
      <w:pPr>
        <w:spacing w:after="80" w:before="80" w:line="300"/>
        <w:jc w:val="both"/>
      </w:pPr>
      <w:r>
        <w:rPr>
          <w:rFonts w:ascii="Calibri" w:cs="Calibri" w:eastAsia="Calibri" w:hAnsi="Calibri"/>
          <w:b w:val="false"/>
          <w:bCs w:val="false"/>
          <w:i w:val="false"/>
          <w:iCs w:val="false"/>
          <w:sz w:val="22"/>
          <w:szCs w:val="22"/>
        </w:rPr>
        <w:t xml:space="preserve">Atenție: nu există un singur răspuns corect. Judecata dvs. profesională, argumentată pe baza faptelor, este ceea ce se evaluează. Nu trebuie să aveți cunoștințe prealabile detaliate despre toate instrumentele TOGAF — este suficient să aplicați principiile lui fundamentale.</w:t>
      </w:r>
    </w:p>
    <w:p>
      <w:pPr>
        <w:pStyle w:val="Heading2"/>
        <w:spacing w:after="120" w:before="280"/>
      </w:pPr>
      <w:r>
        <w:rPr>
          <w:rFonts w:ascii="Calibri" w:cs="Calibri" w:eastAsia="Calibri" w:hAnsi="Calibri"/>
          <w:b/>
          <w:bCs/>
          <w:color w:val="1F2A44"/>
          <w:sz w:val="28"/>
          <w:szCs w:val="28"/>
        </w:rPr>
        <w:t xml:space="preserve">Sarcina 1. Cauze-rădăcină potențiale (individual, 10 min)</w:t>
      </w:r>
    </w:p>
    <w:p>
      <w:pPr>
        <w:spacing w:after="80" w:before="80" w:line="300"/>
        <w:jc w:val="both"/>
      </w:pPr>
      <w:r>
        <w:rPr>
          <w:rFonts w:ascii="Calibri" w:cs="Calibri" w:eastAsia="Calibri" w:hAnsi="Calibri"/>
          <w:b w:val="false"/>
          <w:bCs w:val="false"/>
          <w:i w:val="false"/>
          <w:iCs w:val="false"/>
          <w:sz w:val="22"/>
          <w:szCs w:val="22"/>
        </w:rPr>
        <w:t xml:space="preserve">Pornind exclusiv de la faptele din secțiunile 1–4, identificați 3–5 cauze plauzibile ale eșecului proiectului. Pentru fiecare cauză, notați pe scurt faptul din fișă care vă susține ipoteza.</w:t>
      </w:r>
    </w:p>
    <w:p>
      <w:r>
        <w:rPr>
          <w:rFonts w:ascii="Calibri" w:cs="Calibri" w:eastAsia="Calibri" w:hAnsi="Calibri"/>
          <w:sz w:val="4"/>
          <w:szCs w:val="4"/>
        </w:rPr>
        <w:t xml:space="preserve"/>
      </w:r>
    </w:p>
    <w:p>
      <w:pPr>
        <w:spacing w:after="40" w:before="140"/>
      </w:pPr>
      <w:r>
        <w:rPr>
          <w:rFonts w:ascii="Calibri" w:cs="Calibri" w:eastAsia="Calibri" w:hAnsi="Calibri"/>
          <w:b/>
          <w:bCs/>
          <w:color w:val="595959"/>
          <w:sz w:val="22"/>
          <w:szCs w:val="22"/>
        </w:rPr>
        <w:t xml:space="preserve">Cauza 1:</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2:</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3:</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4:</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5:</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r>
        <w:br w:type="page"/>
      </w:r>
    </w:p>
    <w:p>
      <w:pPr>
        <w:pStyle w:val="Heading2"/>
        <w:spacing w:after="120" w:before="280"/>
      </w:pPr>
      <w:r>
        <w:rPr>
          <w:rFonts w:ascii="Calibri" w:cs="Calibri" w:eastAsia="Calibri" w:hAnsi="Calibri"/>
          <w:b/>
          <w:bCs/>
          <w:color w:val="1F2A44"/>
          <w:sz w:val="28"/>
          <w:szCs w:val="28"/>
        </w:rPr>
        <w:t xml:space="preserve">Sarcina 2. Maparea pe TOGAF (grup, 15 min)</w:t>
      </w:r>
    </w:p>
    <w:p>
      <w:pPr>
        <w:spacing w:after="80" w:before="80" w:line="300"/>
        <w:jc w:val="both"/>
      </w:pPr>
      <w:r>
        <w:rPr>
          <w:rFonts w:ascii="Calibri" w:cs="Calibri" w:eastAsia="Calibri" w:hAnsi="Calibri"/>
          <w:b w:val="false"/>
          <w:bCs w:val="false"/>
          <w:i w:val="false"/>
          <w:iCs w:val="false"/>
          <w:sz w:val="22"/>
          <w:szCs w:val="22"/>
        </w:rPr>
        <w:t xml:space="preserve">Pentru fiecare cauză identificată la Sarcina 1, numiți cel puțin o practică, un principiu, un artefact sau un obiectiv specific din TOGAF care ar fi putut adresa direct acea cauză. Explicați pe scurt cum.</w:t>
      </w:r>
    </w:p>
    <w:p>
      <w:pPr>
        <w:spacing w:after="80" w:before="80" w:line="300"/>
        <w:jc w:val="both"/>
      </w:pPr>
      <w:r>
        <w:rPr>
          <w:rFonts w:ascii="Calibri" w:cs="Calibri" w:eastAsia="Calibri" w:hAnsi="Calibri"/>
          <w:b w:val="false"/>
          <w:bCs w:val="false"/>
          <w:i/>
          <w:iCs/>
          <w:sz w:val="22"/>
          <w:szCs w:val="22"/>
        </w:rPr>
        <w:t xml:space="preserve">Sugestii de repere pe care le puteți folosi (fără a vă limita la ele): TOGAF ADM (faze Preliminary, A–H), Architecture Vision, Architecture Principles, Baseline / Target / Transition Architecture, Gap Analysis, Architecture Repository, Architecture Contract, Architecture Governance, Architecture Board, Implementation Governance Model, Capability Assessment, Architecture Change Management.</w:t>
      </w:r>
    </w:p>
    <w:p>
      <w:r>
        <w:rPr>
          <w:rFonts w:ascii="Calibri" w:cs="Calibri" w:eastAsia="Calibri" w:hAnsi="Calibri"/>
          <w:sz w:val="4"/>
          <w:szCs w:val="4"/>
        </w:rPr>
        <w:t xml:space="preserve"/>
      </w:r>
    </w:p>
    <w:p>
      <w:pPr>
        <w:spacing w:after="40" w:before="140"/>
      </w:pPr>
      <w:r>
        <w:rPr>
          <w:rFonts w:ascii="Calibri" w:cs="Calibri" w:eastAsia="Calibri" w:hAnsi="Calibri"/>
          <w:b/>
          <w:bCs/>
          <w:color w:val="595959"/>
          <w:sz w:val="22"/>
          <w:szCs w:val="22"/>
        </w:rPr>
        <w:t xml:space="preserve">Cauza 1 → element TOGAF:</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2 → element TOGAF:</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3 → element TOGAF:</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4 → element TOGAF:</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5 → element TOGAF:</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r>
        <w:br w:type="page"/>
      </w:r>
    </w:p>
    <w:p>
      <w:pPr>
        <w:pStyle w:val="Heading2"/>
        <w:spacing w:after="120" w:before="280"/>
      </w:pPr>
      <w:r>
        <w:rPr>
          <w:rFonts w:ascii="Calibri" w:cs="Calibri" w:eastAsia="Calibri" w:hAnsi="Calibri"/>
          <w:b/>
          <w:bCs/>
          <w:color w:val="1F2A44"/>
          <w:sz w:val="28"/>
          <w:szCs w:val="28"/>
        </w:rPr>
        <w:t xml:space="preserve">Sarcina 3. Plan de corecție în 3 pași (grup, 10 min)</w:t>
      </w:r>
    </w:p>
    <w:p>
      <w:pPr>
        <w:spacing w:after="80" w:before="80" w:line="300"/>
        <w:jc w:val="both"/>
      </w:pPr>
      <w:r>
        <w:rPr>
          <w:rFonts w:ascii="Calibri" w:cs="Calibri" w:eastAsia="Calibri" w:hAnsi="Calibri"/>
          <w:b w:val="false"/>
          <w:bCs w:val="false"/>
          <w:i w:val="false"/>
          <w:iCs w:val="false"/>
          <w:sz w:val="22"/>
          <w:szCs w:val="22"/>
        </w:rPr>
        <w:t xml:space="preserve">Imaginați-vă că vi se cere să reluați proiectul din momentul de dinaintea primei crize majore. Propuneți 3 acțiuni concrete, în ordine de prioritate, prin care ați re-ancora proiectul pe TOGAF. Fiecare acțiune: o frază cu acțiunea, o frază cu rezultatul așteptat, o frază cu cine o execută.</w:t>
      </w:r>
    </w:p>
    <w:p>
      <w:r>
        <w:rPr>
          <w:rFonts w:ascii="Calibri" w:cs="Calibri" w:eastAsia="Calibri" w:hAnsi="Calibri"/>
          <w:sz w:val="4"/>
          <w:szCs w:val="4"/>
        </w:rPr>
        <w:t xml:space="preserve"/>
      </w:r>
    </w:p>
    <w:p>
      <w:pPr>
        <w:spacing w:after="40" w:before="160"/>
      </w:pPr>
      <w:r>
        <w:rPr>
          <w:rFonts w:ascii="Calibri" w:cs="Calibri" w:eastAsia="Calibri" w:hAnsi="Calibri"/>
          <w:b/>
          <w:bCs/>
          <w:color w:val="595959"/>
          <w:sz w:val="22"/>
          <w:szCs w:val="22"/>
        </w:rPr>
        <w:t xml:space="preserve">Pasul 1</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60"/>
      </w:pPr>
      <w:r>
        <w:rPr>
          <w:rFonts w:ascii="Calibri" w:cs="Calibri" w:eastAsia="Calibri" w:hAnsi="Calibri"/>
          <w:b/>
          <w:bCs/>
          <w:color w:val="595959"/>
          <w:sz w:val="22"/>
          <w:szCs w:val="22"/>
        </w:rPr>
        <w:t xml:space="preserve">Pasul 2</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60"/>
      </w:pPr>
      <w:r>
        <w:rPr>
          <w:rFonts w:ascii="Calibri" w:cs="Calibri" w:eastAsia="Calibri" w:hAnsi="Calibri"/>
          <w:b/>
          <w:bCs/>
          <w:color w:val="595959"/>
          <w:sz w:val="22"/>
          <w:szCs w:val="22"/>
        </w:rPr>
        <w:t xml:space="preserve">Pasul 3</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Style w:val="Heading2"/>
        <w:spacing w:after="120" w:before="280"/>
      </w:pPr>
      <w:r>
        <w:rPr>
          <w:rFonts w:ascii="Calibri" w:cs="Calibri" w:eastAsia="Calibri" w:hAnsi="Calibri"/>
          <w:b/>
          <w:bCs/>
          <w:color w:val="1F2A44"/>
          <w:sz w:val="28"/>
          <w:szCs w:val="28"/>
        </w:rPr>
        <w:t xml:space="preserve">Reflecție finală (individual, 5 min)</w:t>
      </w:r>
    </w:p>
    <w:p>
      <w:pPr>
        <w:spacing w:after="80" w:before="80" w:line="300"/>
        <w:jc w:val="both"/>
      </w:pPr>
      <w:r>
        <w:rPr>
          <w:rFonts w:ascii="Calibri" w:cs="Calibri" w:eastAsia="Calibri" w:hAnsi="Calibri"/>
          <w:b w:val="false"/>
          <w:bCs w:val="false"/>
          <w:i w:val="false"/>
          <w:iCs w:val="false"/>
          <w:sz w:val="22"/>
          <w:szCs w:val="22"/>
        </w:rPr>
        <w:t xml:space="preserve">Notați un lucru din acest caz pe care l-ați aplica într-un proiect IT&amp;C al MAI și de ce:</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95959"/>
        <w:sz w:val="18"/>
        <w:szCs w:val="18"/>
      </w:rPr>
      <w:t xml:space="preserve">Pagina </w:t>
    </w:r>
    <w:r>
      <w:rPr>
        <w:rFonts w:ascii="Calibri" w:cs="Calibri" w:eastAsia="Calibri" w:hAnsi="Calibri"/>
        <w:color w:val="595959"/>
        <w:sz w:val="18"/>
        <w:szCs w:val="18"/>
      </w:rPr>
      <w:fldChar w:fldCharType="begin"/>
      <w:instrText xml:space="preserve">PAGE</w:instrText>
      <w:fldChar w:fldCharType="separate"/>
      <w:fldChar w:fldCharType="end"/>
    </w:r>
    <w:r>
      <w:rPr>
        <w:rFonts w:ascii="Calibri" w:cs="Calibri" w:eastAsia="Calibri" w:hAnsi="Calibri"/>
        <w:color w:val="595959"/>
        <w:sz w:val="18"/>
        <w:szCs w:val="18"/>
      </w:rPr>
      <w:t xml:space="preserve"> din </w:t>
    </w:r>
    <w:r>
      <w:rPr>
        <w:rFonts w:ascii="Calibri" w:cs="Calibri" w:eastAsia="Calibri" w:hAnsi="Calibri"/>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95C00" w:sz="8" w:space="1"/>
      </w:pBdr>
      <w:jc w:val="right"/>
    </w:pPr>
    <w:r>
      <w:rPr>
        <w:rFonts w:ascii="Calibri" w:cs="Calibri" w:eastAsia="Calibri" w:hAnsi="Calibri"/>
        <w:color w:val="595959"/>
        <w:sz w:val="18"/>
        <w:szCs w:val="18"/>
      </w:rPr>
      <w:t xml:space="preserve">Fișă 4 — Sistemele IT ale Uniunii Vamale UE (Codul Vamal al Uniunii — UCC / Customs 2020)   •   MAI IT&amp;C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A44"/>
      <w:sz w:val="36"/>
      <w:szCs w:val="36"/>
    </w:rPr>
  </w:style>
  <w:style w:type="paragraph" w:styleId="Heading2">
    <w:name w:val="Heading 2"/>
    <w:basedOn w:val="Normal"/>
    <w:next w:val="Normal"/>
    <w:qFormat/>
    <w:pPr>
      <w:spacing w:after="120" w:before="280"/>
      <w:outlineLvl w:val="1"/>
    </w:pPr>
    <w:rPr>
      <w:rFonts w:ascii="Calibri" w:cs="Calibri" w:eastAsia="Calibri" w:hAnsi="Calibri"/>
      <w:b/>
      <w:bCs/>
      <w:color w:val="1F2A44"/>
      <w:sz w:val="28"/>
      <w:szCs w:val="28"/>
    </w:rPr>
  </w:style>
  <w:style w:type="paragraph" w:styleId="Heading3">
    <w:name w:val="Heading 3"/>
    <w:basedOn w:val="Normal"/>
    <w:next w:val="Normal"/>
    <w:qFormat/>
    <w:pPr>
      <w:spacing w:after="80" w:before="200"/>
      <w:outlineLvl w:val="2"/>
    </w:pPr>
    <w:rPr>
      <w:rFonts w:ascii="Calibri" w:cs="Calibri" w:eastAsia="Calibri" w:hAnsi="Calibri"/>
      <w:b/>
      <w:bCs/>
      <w:color w:val="1F2A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Fișă 4 — Sistemele IT ale Uniunii Vamale UE (Codul Vamal al Uniunii — UCC / Customs 2020)</dc:title>
  <dc:creator>Trainer MAI IT&amp;C</dc:creator>
  <dc:description>Material de curs MAI IT&amp;C 2026</dc:description>
  <cp:lastModifiedBy>Un-named</cp:lastModifiedBy>
  <cp:revision>1</cp:revision>
  <dcterms:created xsi:type="dcterms:W3CDTF">2026-04-18T11:20:25.244Z</dcterms:created>
  <dcterms:modified xsi:type="dcterms:W3CDTF">2026-04-18T11:20:25.245Z</dcterms:modified>
</cp:coreProperties>
</file>

<file path=docProps/custom.xml><?xml version="1.0" encoding="utf-8"?>
<Properties xmlns="http://schemas.openxmlformats.org/officeDocument/2006/custom-properties" xmlns:vt="http://schemas.openxmlformats.org/officeDocument/2006/docPropsVTypes"/>
</file>