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b/>
          <w:bCs/>
          <w:color w:val="8C8C8C"/>
          <w:sz w:val="20"/>
          <w:szCs w:val="20"/>
        </w:rPr>
        <w:t xml:space="preserve">FIȘĂ DE STUDIU DE CAZ   •   Caz 5/6</w:t>
      </w:r>
    </w:p>
    <w:p>
      <w:pPr>
        <w:spacing w:after="60" w:before="0"/>
      </w:pPr>
      <w:r>
        <w:rPr>
          <w:rFonts w:ascii="Calibri" w:cs="Calibri" w:eastAsia="Calibri" w:hAnsi="Calibri"/>
          <w:b/>
          <w:bCs/>
          <w:color w:val="1F2A44"/>
          <w:sz w:val="36"/>
          <w:szCs w:val="36"/>
        </w:rPr>
        <w:t xml:space="preserve">Galileo — Sistemul European de Navigație prin Satelit</w:t>
      </w:r>
    </w:p>
    <w:p>
      <w:pPr>
        <w:spacing w:after="120" w:before="60"/>
      </w:pPr>
      <w:r>
        <w:rPr>
          <w:rFonts w:ascii="Calibri" w:cs="Calibri" w:eastAsia="Calibri" w:hAnsi="Calibri"/>
          <w:color w:val="595959"/>
          <w:sz w:val="22"/>
          <w:szCs w:val="22"/>
        </w:rPr>
        <w:t xml:space="preserve">Metodologie studiată: </w:t>
      </w:r>
      <w:r>
        <w:rPr>
          <w:rFonts w:ascii="Calibri" w:cs="Calibri" w:eastAsia="Calibri" w:hAnsi="Calibri"/>
          <w:b/>
          <w:bCs/>
          <w:color w:val="2F7A2F"/>
          <w:sz w:val="22"/>
          <w:szCs w:val="22"/>
        </w:rPr>
        <w:t xml:space="preserve">COBIT</w:t>
      </w:r>
    </w:p>
    <w:p>
      <w:pPr>
        <w:pBdr>
          <w:bottom w:val="single" w:color="2F7A2F" w:sz="24" w:space="1"/>
        </w:pBdr>
        <w:spacing w:after="180" w:before="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Cum folosiți această fișă</w:t>
      </w:r>
    </w:p>
    <w:p>
      <w:pPr>
        <w:spacing w:after="80" w:before="80" w:line="300"/>
        <w:jc w:val="both"/>
      </w:pPr>
      <w:r>
        <w:rPr>
          <w:rFonts w:ascii="Calibri" w:cs="Calibri" w:eastAsia="Calibri" w:hAnsi="Calibri"/>
          <w:b w:val="false"/>
          <w:bCs w:val="false"/>
          <w:i w:val="false"/>
          <w:iCs w:val="false"/>
          <w:sz w:val="22"/>
          <w:szCs w:val="22"/>
        </w:rPr>
        <w:t xml:space="preserve">Citiți cu atenție contextul, cronologia și simptomele proiectului. Informațiile de mai jos sunt fapte documentate public — nu conțin răspunsul. Sarcina dvs. este să identificați, folosind exclusiv aceste fapte, posibilele cauze ale eșecului și să propuneți cum metodologia COBIT ar fi putut schimba traiectoria proiectului. Lucrați individual 10 minute, apoi în grup de 3–4 timp de 25 de minute, apoi prezentați concluziile în plen.</w:t>
      </w:r>
    </w:p>
    <w:p>
      <w:r>
        <w:rPr>
          <w:rFonts w:ascii="Calibri" w:cs="Calibri" w:eastAsia="Calibri" w:hAnsi="Calibri"/>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Nr. caz</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Caz 5</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Proiect</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Galileo — Sistemul European de Navigație prin Satelit</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Țară/program</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Uniunea Europeană (Comisie + ESA + State Membre + Joint Undertaking)</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Sector</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Spațiu, infrastructură critică</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Metodologie studiată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COBIT</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Sursă primară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Curtea de Conturi Europeană — Raport special 7/2009: „The management of the Galileo programme's development and validation phase”</w:t>
            </w:r>
          </w:p>
        </w:tc>
      </w:tr>
    </w:tbl>
    <w:p>
      <w:r>
        <w:br w:type="page"/>
      </w:r>
    </w:p>
    <w:p>
      <w:pPr>
        <w:pStyle w:val="Heading1"/>
        <w:spacing w:after="180" w:before="360"/>
      </w:pPr>
      <w:r>
        <w:rPr>
          <w:rFonts w:ascii="Calibri" w:cs="Calibri" w:eastAsia="Calibri" w:hAnsi="Calibri"/>
          <w:b/>
          <w:bCs/>
          <w:color w:val="2F7A2F"/>
          <w:sz w:val="36"/>
          <w:szCs w:val="36"/>
        </w:rPr>
        <w:t xml:space="preserve">1. Contextul proiectului</w:t>
      </w:r>
    </w:p>
    <w:p>
      <w:pPr>
        <w:spacing w:after="80" w:before="80" w:line="300"/>
        <w:jc w:val="both"/>
      </w:pPr>
      <w:r>
        <w:rPr>
          <w:rFonts w:ascii="Calibri" w:cs="Calibri" w:eastAsia="Calibri" w:hAnsi="Calibri"/>
          <w:b w:val="false"/>
          <w:bCs w:val="false"/>
          <w:i w:val="false"/>
          <w:iCs w:val="false"/>
          <w:sz w:val="22"/>
          <w:szCs w:val="22"/>
        </w:rPr>
        <w:t xml:space="preserve">Galileo este programul european de navigație prin satelit, conceput ca alternativă civilă europeană la GPS (SUA), GLONASS (Rusia) și BeiDou (China). Obiectivul final: o constelație de 30 de sateliți care să furnizeze poziționare, navigare și cronometrare precise, cu aplicații în transport, agricultură, securitate, urgențe și multe altele.</w:t>
      </w:r>
    </w:p>
    <w:p>
      <w:pPr>
        <w:spacing w:after="80" w:before="80" w:line="300"/>
        <w:jc w:val="both"/>
      </w:pPr>
      <w:r>
        <w:rPr>
          <w:rFonts w:ascii="Calibri" w:cs="Calibri" w:eastAsia="Calibri" w:hAnsi="Calibri"/>
          <w:b w:val="false"/>
          <w:bCs w:val="false"/>
          <w:i w:val="false"/>
          <w:iCs w:val="false"/>
          <w:sz w:val="22"/>
          <w:szCs w:val="22"/>
        </w:rPr>
        <w:t xml:space="preserve">Proiecția inițială de cost (anul 2000) pentru întregul program (faze de definire, dezvoltare, validare și desfășurare) era de 3,33 miliarde €.</w:t>
      </w:r>
    </w:p>
    <w:p>
      <w:pPr>
        <w:spacing w:after="80" w:before="80" w:line="300"/>
        <w:jc w:val="both"/>
      </w:pPr>
      <w:r>
        <w:rPr>
          <w:rFonts w:ascii="Calibri" w:cs="Calibri" w:eastAsia="Calibri" w:hAnsi="Calibri"/>
          <w:b w:val="false"/>
          <w:bCs w:val="false"/>
          <w:i w:val="false"/>
          <w:iCs w:val="false"/>
          <w:sz w:val="22"/>
          <w:szCs w:val="22"/>
        </w:rPr>
        <w:t xml:space="preserve">Faza de dezvoltare și validare (Development &amp; Validation Phase) a implicat o structură complexă de actori: Comisia Europeană (ownership politic și bugetar), Agenția Spațială Europeană – ESA (ownership tehnic, dat fiind know-how-ul spațial), Statele Membre (contribuții financiare și operaționale), și Galileo Joint Undertaking (GJU) — o structură creată special pentru a gestiona parteneriatul public-privat inițial. Mai târziu, GSA (Agenția GNSS Europeană, redenumită ulterior EUSPA) a preluat anumite responsabilități operaționale.</w:t>
      </w:r>
    </w:p>
    <w:p>
      <w:pPr>
        <w:spacing w:after="80" w:before="80" w:line="300"/>
        <w:jc w:val="both"/>
      </w:pPr>
      <w:r>
        <w:rPr>
          <w:rFonts w:ascii="Calibri" w:cs="Calibri" w:eastAsia="Calibri" w:hAnsi="Calibri"/>
          <w:b w:val="false"/>
          <w:bCs w:val="false"/>
          <w:i w:val="false"/>
          <w:iCs w:val="false"/>
          <w:sz w:val="22"/>
          <w:szCs w:val="22"/>
        </w:rPr>
        <w:t xml:space="preserve">Deciziile majore ale programului urmau să fie luate în cadrul reuniunilor Consiliului European, în urma propunerilor Comisiei.</w:t>
      </w:r>
    </w:p>
    <w:p>
      <w:pPr>
        <w:pStyle w:val="Heading1"/>
        <w:spacing w:after="180" w:before="360"/>
      </w:pPr>
      <w:r>
        <w:rPr>
          <w:rFonts w:ascii="Calibri" w:cs="Calibri" w:eastAsia="Calibri" w:hAnsi="Calibri"/>
          <w:b/>
          <w:bCs/>
          <w:color w:val="2F7A2F"/>
          <w:sz w:val="36"/>
          <w:szCs w:val="36"/>
        </w:rPr>
        <w:t xml:space="preserve">2. Cronologia evenimentelor</w:t>
      </w:r>
    </w:p>
    <w:p>
      <w:pPr>
        <w:spacing w:after="80" w:before="80" w:line="300"/>
        <w:jc w:val="both"/>
      </w:pPr>
      <w:r>
        <w:rPr>
          <w:rFonts w:ascii="Calibri" w:cs="Calibri" w:eastAsia="Calibri" w:hAnsi="Calibri"/>
          <w:b w:val="false"/>
          <w:bCs w:val="false"/>
          <w:i w:val="false"/>
          <w:iCs w:val="false"/>
          <w:sz w:val="22"/>
          <w:szCs w:val="22"/>
        </w:rPr>
        <w:t xml:space="preserve">Evenimentele-cheie, în ordine cronologică, documentate public:</w:t>
      </w:r>
    </w:p>
    <w:p>
      <w:pPr>
        <w:pStyle w:val="ListParagraph"/>
        <w:numPr>
          <w:ilvl w:val="0"/>
          <w:numId w:val="2"/>
        </w:numPr>
        <w:spacing w:after="40" w:before="40" w:line="300"/>
      </w:pPr>
      <w:r>
        <w:rPr>
          <w:rFonts w:ascii="Calibri" w:cs="Calibri" w:eastAsia="Calibri" w:hAnsi="Calibri"/>
          <w:sz w:val="22"/>
          <w:szCs w:val="22"/>
        </w:rPr>
        <w:t xml:space="preserve">2000: Proiecție inițială de cost total 3,33 mld. € pentru întregul program.</w:t>
      </w:r>
    </w:p>
    <w:p>
      <w:pPr>
        <w:pStyle w:val="ListParagraph"/>
        <w:numPr>
          <w:ilvl w:val="0"/>
          <w:numId w:val="2"/>
        </w:numPr>
        <w:spacing w:after="40" w:before="40" w:line="300"/>
      </w:pPr>
      <w:r>
        <w:rPr>
          <w:rFonts w:ascii="Calibri" w:cs="Calibri" w:eastAsia="Calibri" w:hAnsi="Calibri"/>
          <w:sz w:val="22"/>
          <w:szCs w:val="22"/>
        </w:rPr>
        <w:t xml:space="preserve">2001–2003: Structuri de guvernanță create succesiv (GJU, GSA); definirea responsabilităților între Comisie și ESA în curs.</w:t>
      </w:r>
    </w:p>
    <w:p>
      <w:pPr>
        <w:pStyle w:val="ListParagraph"/>
        <w:numPr>
          <w:ilvl w:val="0"/>
          <w:numId w:val="2"/>
        </w:numPr>
        <w:spacing w:after="40" w:before="40" w:line="300"/>
      </w:pPr>
      <w:r>
        <w:rPr>
          <w:rFonts w:ascii="Calibri" w:cs="Calibri" w:eastAsia="Calibri" w:hAnsi="Calibri"/>
          <w:sz w:val="22"/>
          <w:szCs w:val="22"/>
        </w:rPr>
        <w:t xml:space="preserve">2003–2007: Dezvoltare și testare tehnică sub responsabilitatea mixtă Comisie–ESA.</w:t>
      </w:r>
    </w:p>
    <w:p>
      <w:pPr>
        <w:pStyle w:val="ListParagraph"/>
        <w:numPr>
          <w:ilvl w:val="0"/>
          <w:numId w:val="2"/>
        </w:numPr>
        <w:spacing w:after="40" w:before="40" w:line="300"/>
      </w:pPr>
      <w:r>
        <w:rPr>
          <w:rFonts w:ascii="Calibri" w:cs="Calibri" w:eastAsia="Calibri" w:hAnsi="Calibri"/>
          <w:sz w:val="22"/>
          <w:szCs w:val="22"/>
        </w:rPr>
        <w:t xml:space="preserve">2007: Planul inițial prevedea ca operațiunile să înceapă; nerealizat.</w:t>
      </w:r>
    </w:p>
    <w:p>
      <w:pPr>
        <w:pStyle w:val="ListParagraph"/>
        <w:numPr>
          <w:ilvl w:val="0"/>
          <w:numId w:val="2"/>
        </w:numPr>
        <w:spacing w:after="40" w:before="40" w:line="300"/>
      </w:pPr>
      <w:r>
        <w:rPr>
          <w:rFonts w:ascii="Calibri" w:cs="Calibri" w:eastAsia="Calibri" w:hAnsi="Calibri"/>
          <w:sz w:val="22"/>
          <w:szCs w:val="22"/>
        </w:rPr>
        <w:t xml:space="preserve">2008: Comisia preia un rol mai direct de conducere; GJU este dizolvat.</w:t>
      </w:r>
    </w:p>
    <w:p>
      <w:pPr>
        <w:pStyle w:val="ListParagraph"/>
        <w:numPr>
          <w:ilvl w:val="0"/>
          <w:numId w:val="2"/>
        </w:numPr>
        <w:spacing w:after="40" w:before="40" w:line="300"/>
      </w:pPr>
      <w:r>
        <w:rPr>
          <w:rFonts w:ascii="Calibri" w:cs="Calibri" w:eastAsia="Calibri" w:hAnsi="Calibri"/>
          <w:sz w:val="22"/>
          <w:szCs w:val="22"/>
        </w:rPr>
        <w:t xml:space="preserve">2009: Curtea de Conturi Europeană publică Raportul special 7/2009; la acea dată programul este cu aproximativ 5 ani în urmă și cu 2,25 mld. € peste proiecția de cost din 2000.</w:t>
      </w:r>
    </w:p>
    <w:p>
      <w:pPr>
        <w:pStyle w:val="ListParagraph"/>
        <w:numPr>
          <w:ilvl w:val="0"/>
          <w:numId w:val="2"/>
        </w:numPr>
        <w:spacing w:after="40" w:before="40" w:line="300"/>
      </w:pPr>
      <w:r>
        <w:rPr>
          <w:rFonts w:ascii="Calibri" w:cs="Calibri" w:eastAsia="Calibri" w:hAnsi="Calibri"/>
          <w:sz w:val="22"/>
          <w:szCs w:val="22"/>
        </w:rPr>
        <w:t xml:space="preserve">2011–2013: Lansarea primilor sateliți operaționali; probleme tehnice și de calendar continue.</w:t>
      </w:r>
    </w:p>
    <w:p>
      <w:pPr>
        <w:pStyle w:val="ListParagraph"/>
        <w:numPr>
          <w:ilvl w:val="0"/>
          <w:numId w:val="2"/>
        </w:numPr>
        <w:spacing w:after="40" w:before="40" w:line="300"/>
      </w:pPr>
      <w:r>
        <w:rPr>
          <w:rFonts w:ascii="Calibri" w:cs="Calibri" w:eastAsia="Calibri" w:hAnsi="Calibri"/>
          <w:sz w:val="22"/>
          <w:szCs w:val="22"/>
        </w:rPr>
        <w:t xml:space="preserve">2016: Lansarea serviciilor inițiale Galileo (aproximativ 8 ani peste planul inițial de început de operațiuni).</w:t>
      </w:r>
    </w:p>
    <w:p>
      <w:pPr>
        <w:pStyle w:val="ListParagraph"/>
        <w:numPr>
          <w:ilvl w:val="0"/>
          <w:numId w:val="2"/>
        </w:numPr>
        <w:spacing w:after="40" w:before="40" w:line="300"/>
      </w:pPr>
      <w:r>
        <w:rPr>
          <w:rFonts w:ascii="Calibri" w:cs="Calibri" w:eastAsia="Calibri" w:hAnsi="Calibri"/>
          <w:sz w:val="22"/>
          <w:szCs w:val="22"/>
        </w:rPr>
        <w:t xml:space="preserve">2021: Curtea de Conturi Europeană publică Raportul special 7/2021, care critică mai ales nivelul redus de adopție a serviciilor de către utilizatorii finali.</w:t>
      </w:r>
    </w:p>
    <w:p>
      <w:r>
        <w:br w:type="page"/>
      </w:r>
    </w:p>
    <w:p>
      <w:pPr>
        <w:pStyle w:val="Heading1"/>
        <w:spacing w:after="180" w:before="360"/>
      </w:pPr>
      <w:r>
        <w:rPr>
          <w:rFonts w:ascii="Calibri" w:cs="Calibri" w:eastAsia="Calibri" w:hAnsi="Calibri"/>
          <w:b/>
          <w:bCs/>
          <w:color w:val="2F7A2F"/>
          <w:sz w:val="36"/>
          <w:szCs w:val="36"/>
        </w:rPr>
        <w:t xml:space="preserve">3. Simptome documentate</w:t>
      </w:r>
    </w:p>
    <w:p>
      <w:pPr>
        <w:spacing w:after="80" w:before="80" w:line="300"/>
        <w:jc w:val="both"/>
      </w:pPr>
      <w:r>
        <w:rPr>
          <w:rFonts w:ascii="Calibri" w:cs="Calibri" w:eastAsia="Calibri" w:hAnsi="Calibri"/>
          <w:b w:val="false"/>
          <w:bCs w:val="false"/>
          <w:i w:val="false"/>
          <w:iCs w:val="false"/>
          <w:sz w:val="22"/>
          <w:szCs w:val="22"/>
        </w:rPr>
        <w:t xml:space="preserve">Ce s-a observat public — cifre, întârzieri, eșecuri operaționale:</w:t>
      </w:r>
    </w:p>
    <w:p>
      <w:pPr>
        <w:pStyle w:val="ListParagraph"/>
        <w:numPr>
          <w:ilvl w:val="0"/>
          <w:numId w:val="2"/>
        </w:numPr>
        <w:spacing w:after="40" w:before="40" w:line="300"/>
      </w:pPr>
      <w:r>
        <w:rPr>
          <w:rFonts w:ascii="Calibri" w:cs="Calibri" w:eastAsia="Calibri" w:hAnsi="Calibri"/>
          <w:sz w:val="22"/>
          <w:szCs w:val="22"/>
        </w:rPr>
        <w:t xml:space="preserve">La data auditului ECA (2009), programul era cu aproximativ 5 ani în urmă față de planul inițial.</w:t>
      </w:r>
    </w:p>
    <w:p>
      <w:pPr>
        <w:pStyle w:val="ListParagraph"/>
        <w:numPr>
          <w:ilvl w:val="0"/>
          <w:numId w:val="2"/>
        </w:numPr>
        <w:spacing w:after="40" w:before="40" w:line="300"/>
      </w:pPr>
      <w:r>
        <w:rPr>
          <w:rFonts w:ascii="Calibri" w:cs="Calibri" w:eastAsia="Calibri" w:hAnsi="Calibri"/>
          <w:sz w:val="22"/>
          <w:szCs w:val="22"/>
        </w:rPr>
        <w:t xml:space="preserve">Depășire de cost: 2,25 mld. € peste proiecția de 3,33 mld. € din 2000 pentru fazele dezvoltare/validare/desfășurare.</w:t>
      </w:r>
    </w:p>
    <w:p>
      <w:pPr>
        <w:pStyle w:val="ListParagraph"/>
        <w:numPr>
          <w:ilvl w:val="0"/>
          <w:numId w:val="2"/>
        </w:numPr>
        <w:spacing w:after="40" w:before="40" w:line="300"/>
      </w:pPr>
      <w:r>
        <w:rPr>
          <w:rFonts w:ascii="Calibri" w:cs="Calibri" w:eastAsia="Calibri" w:hAnsi="Calibri"/>
          <w:sz w:val="22"/>
          <w:szCs w:val="22"/>
        </w:rPr>
        <w:t xml:space="preserve">Operațiunile efective au început în 2016 — cu aproximativ 8 ani peste planul inițial.</w:t>
      </w:r>
    </w:p>
    <w:p>
      <w:pPr>
        <w:pStyle w:val="ListParagraph"/>
        <w:numPr>
          <w:ilvl w:val="0"/>
          <w:numId w:val="2"/>
        </w:numPr>
        <w:spacing w:after="40" w:before="40" w:line="300"/>
      </w:pPr>
      <w:r>
        <w:rPr>
          <w:rFonts w:ascii="Calibri" w:cs="Calibri" w:eastAsia="Calibri" w:hAnsi="Calibri"/>
          <w:sz w:val="22"/>
          <w:szCs w:val="22"/>
        </w:rPr>
        <w:t xml:space="preserve">Obiectivele programului se modificau de la o reuniune a Consiliului la alta.</w:t>
      </w:r>
    </w:p>
    <w:p>
      <w:pPr>
        <w:pStyle w:val="ListParagraph"/>
        <w:numPr>
          <w:ilvl w:val="0"/>
          <w:numId w:val="2"/>
        </w:numPr>
        <w:spacing w:after="40" w:before="40" w:line="300"/>
      </w:pPr>
      <w:r>
        <w:rPr>
          <w:rFonts w:ascii="Calibri" w:cs="Calibri" w:eastAsia="Calibri" w:hAnsi="Calibri"/>
          <w:sz w:val="22"/>
          <w:szCs w:val="22"/>
        </w:rPr>
        <w:t xml:space="preserve">Deciziile tehnice erau adoptate în ritmul reuniunilor politice (Consiliul), nu într-un proces tehnic continuu.</w:t>
      </w:r>
    </w:p>
    <w:p>
      <w:pPr>
        <w:pStyle w:val="ListParagraph"/>
        <w:numPr>
          <w:ilvl w:val="0"/>
          <w:numId w:val="2"/>
        </w:numPr>
        <w:spacing w:after="40" w:before="40" w:line="300"/>
      </w:pPr>
      <w:r>
        <w:rPr>
          <w:rFonts w:ascii="Calibri" w:cs="Calibri" w:eastAsia="Calibri" w:hAnsi="Calibri"/>
          <w:sz w:val="22"/>
          <w:szCs w:val="22"/>
        </w:rPr>
        <w:t xml:space="preserve">Curtea a caracterizat managementul ca „preocupat să navigheze programul de la un Consiliu la altul”, în loc să-l conducă după un plan strategic pe termen lung.</w:t>
      </w:r>
    </w:p>
    <w:p>
      <w:pPr>
        <w:pStyle w:val="ListParagraph"/>
        <w:numPr>
          <w:ilvl w:val="0"/>
          <w:numId w:val="2"/>
        </w:numPr>
        <w:spacing w:after="40" w:before="40" w:line="300"/>
      </w:pPr>
      <w:r>
        <w:rPr>
          <w:rFonts w:ascii="Calibri" w:cs="Calibri" w:eastAsia="Calibri" w:hAnsi="Calibri"/>
          <w:sz w:val="22"/>
          <w:szCs w:val="22"/>
        </w:rPr>
        <w:t xml:space="preserve">Adoptarea serviciilor Galileo de către utilizatori finali (integratori, industrie) a rămas modestă la un deceniu după primele servicii (raportul ECA 7/2021).</w:t>
      </w:r>
    </w:p>
    <w:p>
      <w:pPr>
        <w:pStyle w:val="Heading1"/>
        <w:spacing w:after="180" w:before="360"/>
      </w:pPr>
      <w:r>
        <w:rPr>
          <w:rFonts w:ascii="Calibri" w:cs="Calibri" w:eastAsia="Calibri" w:hAnsi="Calibri"/>
          <w:b/>
          <w:bCs/>
          <w:color w:val="2F7A2F"/>
          <w:sz w:val="36"/>
          <w:szCs w:val="36"/>
        </w:rPr>
        <w:t xml:space="preserve">4. Observații factuale suplimentare</w:t>
      </w:r>
    </w:p>
    <w:p>
      <w:pPr>
        <w:spacing w:after="80" w:before="80" w:line="300"/>
        <w:jc w:val="both"/>
      </w:pPr>
      <w:r>
        <w:rPr>
          <w:rFonts w:ascii="Calibri" w:cs="Calibri" w:eastAsia="Calibri" w:hAnsi="Calibri"/>
          <w:b w:val="false"/>
          <w:bCs w:val="false"/>
          <w:i w:val="false"/>
          <w:iCs w:val="false"/>
          <w:sz w:val="22"/>
          <w:szCs w:val="22"/>
        </w:rPr>
        <w:t xml:space="preserve">Elemente de context pe care auditorii le-au consemnat. Nu sunt concluzii — sunt fapte observabile:</w:t>
      </w:r>
    </w:p>
    <w:p>
      <w:pPr>
        <w:pStyle w:val="ListParagraph"/>
        <w:numPr>
          <w:ilvl w:val="0"/>
          <w:numId w:val="2"/>
        </w:numPr>
        <w:spacing w:after="40" w:before="40" w:line="300"/>
      </w:pPr>
      <w:r>
        <w:rPr>
          <w:rFonts w:ascii="Calibri" w:cs="Calibri" w:eastAsia="Calibri" w:hAnsi="Calibri"/>
          <w:sz w:val="22"/>
          <w:szCs w:val="22"/>
        </w:rPr>
        <w:t xml:space="preserve">Rolurile între Comisie (politic/bugetar), ESA (tehnic), Statele Membre (finanțare/operațional) și Joint Undertaking (PPP inițial) nu erau divizate printr-un cadru formal aprobat de toate părțile — responsabilitățile se suprapuneau parțial sau erau ambigue.</w:t>
      </w:r>
    </w:p>
    <w:p>
      <w:pPr>
        <w:pStyle w:val="ListParagraph"/>
        <w:numPr>
          <w:ilvl w:val="0"/>
          <w:numId w:val="2"/>
        </w:numPr>
        <w:spacing w:after="40" w:before="40" w:line="300"/>
      </w:pPr>
      <w:r>
        <w:rPr>
          <w:rFonts w:ascii="Calibri" w:cs="Calibri" w:eastAsia="Calibri" w:hAnsi="Calibri"/>
          <w:sz w:val="22"/>
          <w:szCs w:val="22"/>
        </w:rPr>
        <w:t xml:space="preserve">Nu exista o viziune strategică comună pe termen lung pentru EGNOS și Galileo agreată între toate părțile; obiectivele se puteau schimba în funcție de evoluția politică.</w:t>
      </w:r>
    </w:p>
    <w:p>
      <w:pPr>
        <w:pStyle w:val="ListParagraph"/>
        <w:numPr>
          <w:ilvl w:val="0"/>
          <w:numId w:val="2"/>
        </w:numPr>
        <w:spacing w:after="40" w:before="40" w:line="300"/>
      </w:pPr>
      <w:r>
        <w:rPr>
          <w:rFonts w:ascii="Calibri" w:cs="Calibri" w:eastAsia="Calibri" w:hAnsi="Calibri"/>
          <w:sz w:val="22"/>
          <w:szCs w:val="22"/>
        </w:rPr>
        <w:t xml:space="preserve">Riscurile programatice majore (schedule, cost, performanță tehnică) erau abordate reactiv, nu prin intermediul unui registru de risc cu escaladare automată spre decident.</w:t>
      </w:r>
    </w:p>
    <w:p>
      <w:pPr>
        <w:pStyle w:val="ListParagraph"/>
        <w:numPr>
          <w:ilvl w:val="0"/>
          <w:numId w:val="2"/>
        </w:numPr>
        <w:spacing w:after="40" w:before="40" w:line="300"/>
      </w:pPr>
      <w:r>
        <w:rPr>
          <w:rFonts w:ascii="Calibri" w:cs="Calibri" w:eastAsia="Calibri" w:hAnsi="Calibri"/>
          <w:sz w:val="22"/>
          <w:szCs w:val="22"/>
        </w:rPr>
        <w:t xml:space="preserve">Nu există dovezi ale unei definiții comune, măsurabile și urmărite a „beneficiilor strategice” ale Galileo dincolo de livrarea satelitilor fizici.</w:t>
      </w:r>
    </w:p>
    <w:p>
      <w:pPr>
        <w:pStyle w:val="ListParagraph"/>
        <w:numPr>
          <w:ilvl w:val="0"/>
          <w:numId w:val="2"/>
        </w:numPr>
        <w:spacing w:after="40" w:before="40" w:line="300"/>
      </w:pPr>
      <w:r>
        <w:rPr>
          <w:rFonts w:ascii="Calibri" w:cs="Calibri" w:eastAsia="Calibri" w:hAnsi="Calibri"/>
          <w:sz w:val="22"/>
          <w:szCs w:val="22"/>
        </w:rPr>
        <w:t xml:space="preserve">Accountability-ul pentru rezultate era difuz: în caz de blocaj, fiecare entitate indica spre alta ca fiind responsabilă principală.</w:t>
      </w:r>
    </w:p>
    <w:p>
      <w:pPr>
        <w:pStyle w:val="ListParagraph"/>
        <w:numPr>
          <w:ilvl w:val="0"/>
          <w:numId w:val="2"/>
        </w:numPr>
        <w:spacing w:after="40" w:before="40" w:line="300"/>
      </w:pPr>
      <w:r>
        <w:rPr>
          <w:rFonts w:ascii="Calibri" w:cs="Calibri" w:eastAsia="Calibri" w:hAnsi="Calibri"/>
          <w:sz w:val="22"/>
          <w:szCs w:val="22"/>
        </w:rPr>
        <w:t xml:space="preserve">Deciziile-cheie erau agregate pentru a fi prezentate Consiliului la intervale de 6–12 luni, fără un mecanism intermediar de decizie tehnico-operațională.</w:t>
      </w:r>
    </w:p>
    <w:p>
      <w:r>
        <w:br w:type="page"/>
      </w:r>
    </w:p>
    <w:p>
      <w:pPr>
        <w:pStyle w:val="Heading1"/>
        <w:spacing w:after="180" w:before="360"/>
      </w:pPr>
      <w:r>
        <w:rPr>
          <w:rFonts w:ascii="Calibri" w:cs="Calibri" w:eastAsia="Calibri" w:hAnsi="Calibri"/>
          <w:b/>
          <w:bCs/>
          <w:color w:val="2F7A2F"/>
          <w:sz w:val="36"/>
          <w:szCs w:val="36"/>
        </w:rPr>
        <w:t xml:space="preserve">5. Sarcini de lucru</w:t>
      </w:r>
    </w:p>
    <w:p>
      <w:pPr>
        <w:spacing w:after="80" w:before="80" w:line="300"/>
        <w:jc w:val="both"/>
      </w:pPr>
      <w:r>
        <w:rPr>
          <w:rFonts w:ascii="Calibri" w:cs="Calibri" w:eastAsia="Calibri" w:hAnsi="Calibri"/>
          <w:b w:val="false"/>
          <w:bCs w:val="false"/>
          <w:i w:val="false"/>
          <w:iCs w:val="false"/>
          <w:sz w:val="22"/>
          <w:szCs w:val="22"/>
        </w:rPr>
        <w:t xml:space="preserve">Atenție: nu există un singur răspuns corect. Judecata dvs. profesională, argumentată pe baza faptelor, este ceea ce se evaluează. Nu trebuie să aveți cunoștințe prealabile detaliate despre toate instrumentele COBIT — este suficient să aplicați principiile lui fundamentale.</w:t>
      </w:r>
    </w:p>
    <w:p>
      <w:pPr>
        <w:pStyle w:val="Heading2"/>
        <w:spacing w:after="120" w:before="280"/>
      </w:pPr>
      <w:r>
        <w:rPr>
          <w:rFonts w:ascii="Calibri" w:cs="Calibri" w:eastAsia="Calibri" w:hAnsi="Calibri"/>
          <w:b/>
          <w:bCs/>
          <w:color w:val="1F2A44"/>
          <w:sz w:val="28"/>
          <w:szCs w:val="28"/>
        </w:rPr>
        <w:t xml:space="preserve">Sarcina 1. Cauze-rădăcină potențiale (individual, 10 min)</w:t>
      </w:r>
    </w:p>
    <w:p>
      <w:pPr>
        <w:spacing w:after="80" w:before="80" w:line="300"/>
        <w:jc w:val="both"/>
      </w:pPr>
      <w:r>
        <w:rPr>
          <w:rFonts w:ascii="Calibri" w:cs="Calibri" w:eastAsia="Calibri" w:hAnsi="Calibri"/>
          <w:b w:val="false"/>
          <w:bCs w:val="false"/>
          <w:i w:val="false"/>
          <w:iCs w:val="false"/>
          <w:sz w:val="22"/>
          <w:szCs w:val="22"/>
        </w:rPr>
        <w:t xml:space="preserve">Pornind exclusiv de la faptele din secțiunile 1–4, identificați 3–5 cauze plauzibile ale eșecului proiectului. Pentru fiecare cauză, notați pe scurt faptul din fișă care vă susține ipoteza.</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2. Maparea pe COBIT (grup, 15 min)</w:t>
      </w:r>
    </w:p>
    <w:p>
      <w:pPr>
        <w:spacing w:after="80" w:before="80" w:line="300"/>
        <w:jc w:val="both"/>
      </w:pPr>
      <w:r>
        <w:rPr>
          <w:rFonts w:ascii="Calibri" w:cs="Calibri" w:eastAsia="Calibri" w:hAnsi="Calibri"/>
          <w:b w:val="false"/>
          <w:bCs w:val="false"/>
          <w:i w:val="false"/>
          <w:iCs w:val="false"/>
          <w:sz w:val="22"/>
          <w:szCs w:val="22"/>
        </w:rPr>
        <w:t xml:space="preserve">Pentru fiecare cauză identificată la Sarcina 1, numiți cel puțin o practică, un principiu, un artefact sau un obiectiv specific din COBIT care ar fi putut adresa direct acea cauză. Explicați pe scurt cum.</w:t>
      </w:r>
    </w:p>
    <w:p>
      <w:pPr>
        <w:spacing w:after="80" w:before="80" w:line="300"/>
        <w:jc w:val="both"/>
      </w:pPr>
      <w:r>
        <w:rPr>
          <w:rFonts w:ascii="Calibri" w:cs="Calibri" w:eastAsia="Calibri" w:hAnsi="Calibri"/>
          <w:b w:val="false"/>
          <w:bCs w:val="false"/>
          <w:i/>
          <w:iCs/>
          <w:sz w:val="22"/>
          <w:szCs w:val="22"/>
        </w:rPr>
        <w:t xml:space="preserve">Sugestii de repere pe care le puteți folosi (fără a vă limita la ele): </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3. Plan de corecție în 3 pași (grup, 10 min)</w:t>
      </w:r>
    </w:p>
    <w:p>
      <w:pPr>
        <w:spacing w:after="80" w:before="80" w:line="300"/>
        <w:jc w:val="both"/>
      </w:pPr>
      <w:r>
        <w:rPr>
          <w:rFonts w:ascii="Calibri" w:cs="Calibri" w:eastAsia="Calibri" w:hAnsi="Calibri"/>
          <w:b w:val="false"/>
          <w:bCs w:val="false"/>
          <w:i w:val="false"/>
          <w:iCs w:val="false"/>
          <w:sz w:val="22"/>
          <w:szCs w:val="22"/>
        </w:rPr>
        <w:t xml:space="preserve">Imaginați-vă că vi se cere să reluați proiectul din momentul de dinaintea primei crize majore. Propuneți 3 acțiuni concrete, în ordine de prioritate, prin care ați re-ancora proiectul pe COBIT. Fiecare acțiune: o frază cu acțiunea, o frază cu rezultatul așteptat, o frază cu cine o execută.</w:t>
      </w:r>
    </w:p>
    <w:p>
      <w:r>
        <w:rPr>
          <w:rFonts w:ascii="Calibri" w:cs="Calibri" w:eastAsia="Calibri" w:hAnsi="Calibri"/>
          <w:sz w:val="4"/>
          <w:szCs w:val="4"/>
        </w:rPr>
        <w:t xml:space="preserve"/>
      </w:r>
    </w:p>
    <w:p>
      <w:pPr>
        <w:spacing w:after="40" w:before="160"/>
      </w:pPr>
      <w:r>
        <w:rPr>
          <w:rFonts w:ascii="Calibri" w:cs="Calibri" w:eastAsia="Calibri" w:hAnsi="Calibri"/>
          <w:b/>
          <w:bCs/>
          <w:color w:val="595959"/>
          <w:sz w:val="22"/>
          <w:szCs w:val="22"/>
        </w:rPr>
        <w:t xml:space="preserve">Pasul 1</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2</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3</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Reflecție finală (individual, 5 min)</w:t>
      </w:r>
    </w:p>
    <w:p>
      <w:pPr>
        <w:spacing w:after="80" w:before="80" w:line="300"/>
        <w:jc w:val="both"/>
      </w:pPr>
      <w:r>
        <w:rPr>
          <w:rFonts w:ascii="Calibri" w:cs="Calibri" w:eastAsia="Calibri" w:hAnsi="Calibri"/>
          <w:b w:val="false"/>
          <w:bCs w:val="false"/>
          <w:i w:val="false"/>
          <w:iCs w:val="false"/>
          <w:sz w:val="22"/>
          <w:szCs w:val="22"/>
        </w:rPr>
        <w:t xml:space="preserve">Notați un lucru din acest caz pe care l-ați aplica într-un proiect IT&amp;C al MAI și de ce:</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8"/>
        <w:szCs w:val="18"/>
      </w:rPr>
      <w:t xml:space="preserve">Pagina </w:t>
    </w:r>
    <w:r>
      <w:rPr>
        <w:rFonts w:ascii="Calibri" w:cs="Calibri" w:eastAsia="Calibri" w:hAnsi="Calibri"/>
        <w:color w:val="595959"/>
        <w:sz w:val="18"/>
        <w:szCs w:val="18"/>
      </w:rPr>
      <w:fldChar w:fldCharType="begin"/>
      <w:instrText xml:space="preserve">PAGE</w:instrText>
      <w:fldChar w:fldCharType="separate"/>
      <w:fldChar w:fldCharType="end"/>
    </w:r>
    <w:r>
      <w:rPr>
        <w:rFonts w:ascii="Calibri" w:cs="Calibri" w:eastAsia="Calibri" w:hAnsi="Calibri"/>
        <w:color w:val="595959"/>
        <w:sz w:val="18"/>
        <w:szCs w:val="18"/>
      </w:rPr>
      <w:t xml:space="preserve"> din </w:t>
    </w:r>
    <w:r>
      <w:rPr>
        <w:rFonts w:ascii="Calibri" w:cs="Calibri" w:eastAsia="Calibri" w:hAnsi="Calibri"/>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F7A2F" w:sz="8" w:space="1"/>
      </w:pBdr>
      <w:jc w:val="right"/>
    </w:pPr>
    <w:r>
      <w:rPr>
        <w:rFonts w:ascii="Calibri" w:cs="Calibri" w:eastAsia="Calibri" w:hAnsi="Calibri"/>
        <w:color w:val="595959"/>
        <w:sz w:val="18"/>
        <w:szCs w:val="18"/>
      </w:rPr>
      <w:t xml:space="preserve">Fișă 5 — Galileo — Sistemul European de Navigație prin Satelit   •   MAI IT&amp;C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6"/>
      <w:szCs w:val="36"/>
    </w:rPr>
  </w:style>
  <w:style w:type="paragraph" w:styleId="Heading2">
    <w:name w:val="Heading 2"/>
    <w:basedOn w:val="Normal"/>
    <w:next w:val="Normal"/>
    <w:qFormat/>
    <w:pPr>
      <w:spacing w:after="120" w:before="280"/>
      <w:outlineLvl w:val="1"/>
    </w:pPr>
    <w:rPr>
      <w:rFonts w:ascii="Calibri" w:cs="Calibri" w:eastAsia="Calibri" w:hAnsi="Calibri"/>
      <w:b/>
      <w:bCs/>
      <w:color w:val="1F2A44"/>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1F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5 — Galileo — Sistemul European de Navigație prin Satelit</dc:title>
  <dc:creator>Trainer MAI IT&amp;C</dc:creator>
  <dc:description>Material de curs MAI IT&amp;C 2026</dc:description>
  <cp:lastModifiedBy>Un-named</cp:lastModifiedBy>
  <cp:revision>1</cp:revision>
  <dcterms:created xsi:type="dcterms:W3CDTF">2026-04-18T11:20:25.265Z</dcterms:created>
  <dcterms:modified xsi:type="dcterms:W3CDTF">2026-04-18T11:20:25.265Z</dcterms:modified>
</cp:coreProperties>
</file>

<file path=docProps/custom.xml><?xml version="1.0" encoding="utf-8"?>
<Properties xmlns="http://schemas.openxmlformats.org/officeDocument/2006/custom-properties" xmlns:vt="http://schemas.openxmlformats.org/officeDocument/2006/docPropsVTypes"/>
</file>