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Calibri" w:cs="Calibri" w:eastAsia="Calibri" w:hAnsi="Calibri"/>
          <w:b/>
          <w:bCs/>
          <w:color w:val="8C8C8C"/>
          <w:sz w:val="20"/>
          <w:szCs w:val="20"/>
        </w:rPr>
        <w:t xml:space="preserve">FIȘĂ DE STUDIU DE CAZ   •   Caz 6/6</w:t>
      </w:r>
    </w:p>
    <w:p>
      <w:pPr>
        <w:spacing w:after="60" w:before="0"/>
      </w:pPr>
      <w:r>
        <w:rPr>
          <w:rFonts w:ascii="Calibri" w:cs="Calibri" w:eastAsia="Calibri" w:hAnsi="Calibri"/>
          <w:b/>
          <w:bCs/>
          <w:color w:val="1F2A44"/>
          <w:sz w:val="36"/>
          <w:szCs w:val="36"/>
        </w:rPr>
        <w:t xml:space="preserve">Louvois — Sistemul Unic de Soldă al Armatelor (Ministerul Apărării, Franța)</w:t>
      </w:r>
    </w:p>
    <w:p>
      <w:pPr>
        <w:spacing w:after="120" w:before="60"/>
      </w:pPr>
      <w:r>
        <w:rPr>
          <w:rFonts w:ascii="Calibri" w:cs="Calibri" w:eastAsia="Calibri" w:hAnsi="Calibri"/>
          <w:color w:val="595959"/>
          <w:sz w:val="22"/>
          <w:szCs w:val="22"/>
        </w:rPr>
        <w:t xml:space="preserve">Metodologie studiată: </w:t>
      </w:r>
      <w:r>
        <w:rPr>
          <w:rFonts w:ascii="Calibri" w:cs="Calibri" w:eastAsia="Calibri" w:hAnsi="Calibri"/>
          <w:b/>
          <w:bCs/>
          <w:color w:val="2F7A2F"/>
          <w:sz w:val="22"/>
          <w:szCs w:val="22"/>
        </w:rPr>
        <w:t xml:space="preserve">COBIT</w:t>
      </w:r>
    </w:p>
    <w:p>
      <w:pPr>
        <w:pBdr>
          <w:bottom w:val="single" w:color="2F7A2F" w:sz="24" w:space="1"/>
        </w:pBdr>
        <w:spacing w:after="180" w:before="0"/>
      </w:pPr>
      <w:r>
        <w:rPr>
          <w:rFonts w:ascii="Calibri" w:cs="Calibri" w:eastAsia="Calibri" w:hAnsi="Calibri"/>
          <w:sz w:val="2"/>
          <w:szCs w:val="2"/>
        </w:rPr>
        <w:t xml:space="preserve"/>
      </w:r>
    </w:p>
    <w:p>
      <w:pPr>
        <w:pStyle w:val="Heading2"/>
        <w:spacing w:after="120" w:before="280"/>
      </w:pPr>
      <w:r>
        <w:rPr>
          <w:rFonts w:ascii="Calibri" w:cs="Calibri" w:eastAsia="Calibri" w:hAnsi="Calibri"/>
          <w:b/>
          <w:bCs/>
          <w:color w:val="1F2A44"/>
          <w:sz w:val="28"/>
          <w:szCs w:val="28"/>
        </w:rPr>
        <w:t xml:space="preserve">Cum folosiți această fișă</w:t>
      </w:r>
    </w:p>
    <w:p>
      <w:pPr>
        <w:spacing w:after="80" w:before="80" w:line="300"/>
        <w:jc w:val="both"/>
      </w:pPr>
      <w:r>
        <w:rPr>
          <w:rFonts w:ascii="Calibri" w:cs="Calibri" w:eastAsia="Calibri" w:hAnsi="Calibri"/>
          <w:b w:val="false"/>
          <w:bCs w:val="false"/>
          <w:i w:val="false"/>
          <w:iCs w:val="false"/>
          <w:sz w:val="22"/>
          <w:szCs w:val="22"/>
        </w:rPr>
        <w:t xml:space="preserve">Citiți cu atenție contextul, cronologia și simptomele proiectului. Informațiile de mai jos sunt fapte documentate public — nu conțin răspunsul. Sarcina dvs. este să identificați, folosind exclusiv aceste fapte, posibilele cauze ale eșecului și să propuneți cum metodologia COBIT ar fi putut schimba traiectoria proiectului. Lucrați individual 10 minute, apoi în grup de 3–4 timp de 25 de minute, apoi prezentați concluziile în plen.</w:t>
      </w:r>
    </w:p>
    <w:p>
      <w:r>
        <w:rPr>
          <w:rFonts w:ascii="Calibri" w:cs="Calibri" w:eastAsia="Calibri" w:hAnsi="Calibri"/>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BFBFBF" w:sz="4"/>
              <w:left w:val="single" w:color="BFBFBF" w:sz="4"/>
              <w:bottom w:val="single" w:color="BFBFBF" w:sz="4"/>
              <w:right w:val="single" w:color="BFBFBF" w:sz="4"/>
            </w:tcBorders>
            <w:shd w:fill="EEF7EB" w:color="auto" w:val="clear"/>
            <w:tcMar>
              <w:top w:type="dxa" w:w="100"/>
              <w:left w:type="dxa" w:w="140"/>
              <w:bottom w:type="dxa" w:w="100"/>
              <w:right w:type="dxa" w:w="140"/>
            </w:tcMar>
          </w:tcPr>
          <w:p>
            <w:pPr>
              <w:jc w:val="left"/>
            </w:pPr>
            <w:r>
              <w:rPr>
                <w:rFonts w:ascii="Calibri" w:cs="Calibri" w:eastAsia="Calibri" w:hAnsi="Calibri"/>
                <w:b/>
                <w:bCs/>
                <w:color w:val="1F2A44"/>
                <w:sz w:val="20"/>
                <w:szCs w:val="20"/>
              </w:rPr>
              <w:t xml:space="preserve">Nr. caz</w:t>
            </w:r>
          </w:p>
        </w:tc>
        <w:tc>
          <w:tcPr>
            <w:tcW w:type="dxa" w:w="6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sz w:val="22"/>
                <w:szCs w:val="22"/>
              </w:rPr>
              <w:t xml:space="preserve">Caz 6</w:t>
            </w:r>
          </w:p>
        </w:tc>
      </w:tr>
      <w:tr>
        <w:tc>
          <w:tcPr>
            <w:tcW w:type="dxa" w:w="2400"/>
            <w:tcBorders>
              <w:top w:val="single" w:color="BFBFBF" w:sz="4"/>
              <w:left w:val="single" w:color="BFBFBF" w:sz="4"/>
              <w:bottom w:val="single" w:color="BFBFBF" w:sz="4"/>
              <w:right w:val="single" w:color="BFBFBF" w:sz="4"/>
            </w:tcBorders>
            <w:shd w:fill="EEF7EB" w:color="auto" w:val="clear"/>
            <w:tcMar>
              <w:top w:type="dxa" w:w="100"/>
              <w:left w:type="dxa" w:w="140"/>
              <w:bottom w:type="dxa" w:w="100"/>
              <w:right w:type="dxa" w:w="140"/>
            </w:tcMar>
          </w:tcPr>
          <w:p>
            <w:pPr>
              <w:jc w:val="left"/>
            </w:pPr>
            <w:r>
              <w:rPr>
                <w:rFonts w:ascii="Calibri" w:cs="Calibri" w:eastAsia="Calibri" w:hAnsi="Calibri"/>
                <w:b/>
                <w:bCs/>
                <w:color w:val="1F2A44"/>
                <w:sz w:val="20"/>
                <w:szCs w:val="20"/>
              </w:rPr>
              <w:t xml:space="preserve">Proiect</w:t>
            </w:r>
          </w:p>
        </w:tc>
        <w:tc>
          <w:tcPr>
            <w:tcW w:type="dxa" w:w="6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sz w:val="22"/>
                <w:szCs w:val="22"/>
              </w:rPr>
              <w:t xml:space="preserve">Louvois — Sistemul Unic de Soldă al Armatelor (Ministerul Apărării, Franța)</w:t>
            </w:r>
          </w:p>
        </w:tc>
      </w:tr>
      <w:tr>
        <w:tc>
          <w:tcPr>
            <w:tcW w:type="dxa" w:w="2400"/>
            <w:tcBorders>
              <w:top w:val="single" w:color="BFBFBF" w:sz="4"/>
              <w:left w:val="single" w:color="BFBFBF" w:sz="4"/>
              <w:bottom w:val="single" w:color="BFBFBF" w:sz="4"/>
              <w:right w:val="single" w:color="BFBFBF" w:sz="4"/>
            </w:tcBorders>
            <w:shd w:fill="EEF7EB" w:color="auto" w:val="clear"/>
            <w:tcMar>
              <w:top w:type="dxa" w:w="100"/>
              <w:left w:type="dxa" w:w="140"/>
              <w:bottom w:type="dxa" w:w="100"/>
              <w:right w:type="dxa" w:w="140"/>
            </w:tcMar>
          </w:tcPr>
          <w:p>
            <w:pPr>
              <w:jc w:val="left"/>
            </w:pPr>
            <w:r>
              <w:rPr>
                <w:rFonts w:ascii="Calibri" w:cs="Calibri" w:eastAsia="Calibri" w:hAnsi="Calibri"/>
                <w:b/>
                <w:bCs/>
                <w:color w:val="1F2A44"/>
                <w:sz w:val="20"/>
                <w:szCs w:val="20"/>
              </w:rPr>
              <w:t xml:space="preserve">Țară/program</w:t>
            </w:r>
          </w:p>
        </w:tc>
        <w:tc>
          <w:tcPr>
            <w:tcW w:type="dxa" w:w="6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sz w:val="22"/>
                <w:szCs w:val="22"/>
              </w:rPr>
              <w:t xml:space="preserve">Franța</w:t>
            </w:r>
          </w:p>
        </w:tc>
      </w:tr>
      <w:tr>
        <w:tc>
          <w:tcPr>
            <w:tcW w:type="dxa" w:w="2400"/>
            <w:tcBorders>
              <w:top w:val="single" w:color="BFBFBF" w:sz="4"/>
              <w:left w:val="single" w:color="BFBFBF" w:sz="4"/>
              <w:bottom w:val="single" w:color="BFBFBF" w:sz="4"/>
              <w:right w:val="single" w:color="BFBFBF" w:sz="4"/>
            </w:tcBorders>
            <w:shd w:fill="EEF7EB" w:color="auto" w:val="clear"/>
            <w:tcMar>
              <w:top w:type="dxa" w:w="100"/>
              <w:left w:type="dxa" w:w="140"/>
              <w:bottom w:type="dxa" w:w="100"/>
              <w:right w:type="dxa" w:w="140"/>
            </w:tcMar>
          </w:tcPr>
          <w:p>
            <w:pPr>
              <w:jc w:val="left"/>
            </w:pPr>
            <w:r>
              <w:rPr>
                <w:rFonts w:ascii="Calibri" w:cs="Calibri" w:eastAsia="Calibri" w:hAnsi="Calibri"/>
                <w:b/>
                <w:bCs/>
                <w:color w:val="1F2A44"/>
                <w:sz w:val="20"/>
                <w:szCs w:val="20"/>
              </w:rPr>
              <w:t xml:space="preserve">Sector</w:t>
            </w:r>
          </w:p>
        </w:tc>
        <w:tc>
          <w:tcPr>
            <w:tcW w:type="dxa" w:w="6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sz w:val="22"/>
                <w:szCs w:val="22"/>
              </w:rPr>
              <w:t xml:space="preserve">Apărare, resurse umane, financiar</w:t>
            </w:r>
          </w:p>
        </w:tc>
      </w:tr>
      <w:tr>
        <w:tc>
          <w:tcPr>
            <w:tcW w:type="dxa" w:w="2400"/>
            <w:tcBorders>
              <w:top w:val="single" w:color="BFBFBF" w:sz="4"/>
              <w:left w:val="single" w:color="BFBFBF" w:sz="4"/>
              <w:bottom w:val="single" w:color="BFBFBF" w:sz="4"/>
              <w:right w:val="single" w:color="BFBFBF" w:sz="4"/>
            </w:tcBorders>
            <w:shd w:fill="EEF7EB" w:color="auto" w:val="clear"/>
            <w:tcMar>
              <w:top w:type="dxa" w:w="100"/>
              <w:left w:type="dxa" w:w="140"/>
              <w:bottom w:type="dxa" w:w="100"/>
              <w:right w:type="dxa" w:w="140"/>
            </w:tcMar>
          </w:tcPr>
          <w:p>
            <w:pPr>
              <w:jc w:val="left"/>
            </w:pPr>
            <w:r>
              <w:rPr>
                <w:rFonts w:ascii="Calibri" w:cs="Calibri" w:eastAsia="Calibri" w:hAnsi="Calibri"/>
                <w:b/>
                <w:bCs/>
                <w:color w:val="1F2A44"/>
                <w:sz w:val="20"/>
                <w:szCs w:val="20"/>
              </w:rPr>
              <w:t xml:space="preserve">Metodologie studiată</w:t>
            </w:r>
          </w:p>
        </w:tc>
        <w:tc>
          <w:tcPr>
            <w:tcW w:type="dxa" w:w="6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sz w:val="22"/>
                <w:szCs w:val="22"/>
              </w:rPr>
              <w:t xml:space="preserve">COBIT</w:t>
            </w:r>
          </w:p>
        </w:tc>
      </w:tr>
      <w:tr>
        <w:tc>
          <w:tcPr>
            <w:tcW w:type="dxa" w:w="2400"/>
            <w:tcBorders>
              <w:top w:val="single" w:color="BFBFBF" w:sz="4"/>
              <w:left w:val="single" w:color="BFBFBF" w:sz="4"/>
              <w:bottom w:val="single" w:color="BFBFBF" w:sz="4"/>
              <w:right w:val="single" w:color="BFBFBF" w:sz="4"/>
            </w:tcBorders>
            <w:shd w:fill="EEF7EB" w:color="auto" w:val="clear"/>
            <w:tcMar>
              <w:top w:type="dxa" w:w="100"/>
              <w:left w:type="dxa" w:w="140"/>
              <w:bottom w:type="dxa" w:w="100"/>
              <w:right w:type="dxa" w:w="140"/>
            </w:tcMar>
          </w:tcPr>
          <w:p>
            <w:pPr>
              <w:jc w:val="left"/>
            </w:pPr>
            <w:r>
              <w:rPr>
                <w:rFonts w:ascii="Calibri" w:cs="Calibri" w:eastAsia="Calibri" w:hAnsi="Calibri"/>
                <w:b/>
                <w:bCs/>
                <w:color w:val="1F2A44"/>
                <w:sz w:val="20"/>
                <w:szCs w:val="20"/>
              </w:rPr>
              <w:t xml:space="preserve">Sursă primară</w:t>
            </w:r>
          </w:p>
        </w:tc>
        <w:tc>
          <w:tcPr>
            <w:tcW w:type="dxa" w:w="6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sz w:val="22"/>
                <w:szCs w:val="22"/>
              </w:rPr>
              <w:t xml:space="preserve">Cour des comptes (Franța) — Référé 68579 „Le système de paye Louvois” (perioada examinată 1996–2013)</w:t>
            </w:r>
          </w:p>
        </w:tc>
      </w:tr>
    </w:tbl>
    <w:p>
      <w:r>
        <w:br w:type="page"/>
      </w:r>
    </w:p>
    <w:p>
      <w:pPr>
        <w:pStyle w:val="Heading1"/>
        <w:spacing w:after="180" w:before="360"/>
      </w:pPr>
      <w:r>
        <w:rPr>
          <w:rFonts w:ascii="Calibri" w:cs="Calibri" w:eastAsia="Calibri" w:hAnsi="Calibri"/>
          <w:b/>
          <w:bCs/>
          <w:color w:val="2F7A2F"/>
          <w:sz w:val="36"/>
          <w:szCs w:val="36"/>
        </w:rPr>
        <w:t xml:space="preserve">1. Contextul proiectului</w:t>
      </w:r>
    </w:p>
    <w:p>
      <w:pPr>
        <w:spacing w:after="80" w:before="80" w:line="300"/>
        <w:jc w:val="both"/>
      </w:pPr>
      <w:r>
        <w:rPr>
          <w:rFonts w:ascii="Calibri" w:cs="Calibri" w:eastAsia="Calibri" w:hAnsi="Calibri"/>
          <w:b w:val="false"/>
          <w:bCs w:val="false"/>
          <w:i w:val="false"/>
          <w:iCs w:val="false"/>
          <w:sz w:val="22"/>
          <w:szCs w:val="22"/>
        </w:rPr>
        <w:t xml:space="preserve">Louvois (Logiciel unique à vocation interarmées de la solde) a fost un sistem IT lansat de Ministerul Apărării al Franței în 1996. Scopul: unificarea calculului soldelor pentru cele trei forțe armate (Armata de Uscat, Marina, Forțele Aeriene) plus Jandarmeria — fiecare forță având, prin tradiție, reguli foarte diferite de stabilire a drepturilor salariale, indemnizațiilor, primelor de misiune, sporurilor teritoriale și de risc.</w:t>
      </w:r>
    </w:p>
    <w:p>
      <w:pPr>
        <w:spacing w:after="80" w:before="80" w:line="300"/>
        <w:jc w:val="both"/>
      </w:pPr>
      <w:r>
        <w:rPr>
          <w:rFonts w:ascii="Calibri" w:cs="Calibri" w:eastAsia="Calibri" w:hAnsi="Calibri"/>
          <w:b w:val="false"/>
          <w:bCs w:val="false"/>
          <w:i w:val="false"/>
          <w:iCs w:val="false"/>
          <w:sz w:val="22"/>
          <w:szCs w:val="22"/>
        </w:rPr>
        <w:t xml:space="preserve">Dezvoltarea a durat aproximativ 15 ani, marcată de schimbări de furnizori, modificări ale perimetrului funcțional și reorganizări succesive ale ministerului. Implementarea efectivă în producție a început în 2011, pentru toate cele trei forțe armate simultan („big-bang”).</w:t>
      </w:r>
    </w:p>
    <w:p>
      <w:pPr>
        <w:spacing w:after="80" w:before="80" w:line="300"/>
        <w:jc w:val="both"/>
      </w:pPr>
      <w:r>
        <w:rPr>
          <w:rFonts w:ascii="Calibri" w:cs="Calibri" w:eastAsia="Calibri" w:hAnsi="Calibri"/>
          <w:b w:val="false"/>
          <w:bCs w:val="false"/>
          <w:i w:val="false"/>
          <w:iCs w:val="false"/>
          <w:sz w:val="22"/>
          <w:szCs w:val="22"/>
        </w:rPr>
        <w:t xml:space="preserve">Înlocuirea sistemelor vechi (proprii fiecărei forțe) cu Louvois trebuia să producă economii administrative și să unifice politica salarială. Beneficiile cuantificabile ale proiectului nu au fost însă definite formal la demararea implementării.</w:t>
      </w:r>
    </w:p>
    <w:p>
      <w:pPr>
        <w:pStyle w:val="Heading1"/>
        <w:spacing w:after="180" w:before="360"/>
      </w:pPr>
      <w:r>
        <w:rPr>
          <w:rFonts w:ascii="Calibri" w:cs="Calibri" w:eastAsia="Calibri" w:hAnsi="Calibri"/>
          <w:b/>
          <w:bCs/>
          <w:color w:val="2F7A2F"/>
          <w:sz w:val="36"/>
          <w:szCs w:val="36"/>
        </w:rPr>
        <w:t xml:space="preserve">2. Cronologia evenimentelor</w:t>
      </w:r>
    </w:p>
    <w:p>
      <w:pPr>
        <w:spacing w:after="80" w:before="80" w:line="300"/>
        <w:jc w:val="both"/>
      </w:pPr>
      <w:r>
        <w:rPr>
          <w:rFonts w:ascii="Calibri" w:cs="Calibri" w:eastAsia="Calibri" w:hAnsi="Calibri"/>
          <w:b w:val="false"/>
          <w:bCs w:val="false"/>
          <w:i w:val="false"/>
          <w:iCs w:val="false"/>
          <w:sz w:val="22"/>
          <w:szCs w:val="22"/>
        </w:rPr>
        <w:t xml:space="preserve">Evenimentele-cheie, în ordine cronologică, documentate public:</w:t>
      </w:r>
    </w:p>
    <w:p>
      <w:pPr>
        <w:pStyle w:val="ListParagraph"/>
        <w:numPr>
          <w:ilvl w:val="0"/>
          <w:numId w:val="2"/>
        </w:numPr>
        <w:spacing w:after="40" w:before="40" w:line="300"/>
      </w:pPr>
      <w:r>
        <w:rPr>
          <w:rFonts w:ascii="Calibri" w:cs="Calibri" w:eastAsia="Calibri" w:hAnsi="Calibri"/>
          <w:sz w:val="22"/>
          <w:szCs w:val="22"/>
        </w:rPr>
        <w:t xml:space="preserve">1996: Lansarea oficială a proiectului Louvois în cadrul Ministerului Apărării.</w:t>
      </w:r>
    </w:p>
    <w:p>
      <w:pPr>
        <w:pStyle w:val="ListParagraph"/>
        <w:numPr>
          <w:ilvl w:val="0"/>
          <w:numId w:val="2"/>
        </w:numPr>
        <w:spacing w:after="40" w:before="40" w:line="300"/>
      </w:pPr>
      <w:r>
        <w:rPr>
          <w:rFonts w:ascii="Calibri" w:cs="Calibri" w:eastAsia="Calibri" w:hAnsi="Calibri"/>
          <w:sz w:val="22"/>
          <w:szCs w:val="22"/>
        </w:rPr>
        <w:t xml:space="preserve">1996–2010: Dezvoltare și dezvoltări succesive, fără o producție operațională efectivă.</w:t>
      </w:r>
    </w:p>
    <w:p>
      <w:pPr>
        <w:pStyle w:val="ListParagraph"/>
        <w:numPr>
          <w:ilvl w:val="0"/>
          <w:numId w:val="2"/>
        </w:numPr>
        <w:spacing w:after="40" w:before="40" w:line="300"/>
      </w:pPr>
      <w:r>
        <w:rPr>
          <w:rFonts w:ascii="Calibri" w:cs="Calibri" w:eastAsia="Calibri" w:hAnsi="Calibri"/>
          <w:sz w:val="22"/>
          <w:szCs w:val="22"/>
        </w:rPr>
        <w:t xml:space="preserve">2011: Implementare în producție, simultan pentru toate cele trei forțe armate („big-bang”).</w:t>
      </w:r>
    </w:p>
    <w:p>
      <w:pPr>
        <w:pStyle w:val="ListParagraph"/>
        <w:numPr>
          <w:ilvl w:val="0"/>
          <w:numId w:val="2"/>
        </w:numPr>
        <w:spacing w:after="40" w:before="40" w:line="300"/>
      </w:pPr>
      <w:r>
        <w:rPr>
          <w:rFonts w:ascii="Calibri" w:cs="Calibri" w:eastAsia="Calibri" w:hAnsi="Calibri"/>
          <w:sz w:val="22"/>
          <w:szCs w:val="22"/>
        </w:rPr>
        <w:t xml:space="preserve">2011–2012: Mii de militari primesc solde incorecte (fie în plus, fie în minus sistematic); reclamații masive.</w:t>
      </w:r>
    </w:p>
    <w:p>
      <w:pPr>
        <w:pStyle w:val="ListParagraph"/>
        <w:numPr>
          <w:ilvl w:val="0"/>
          <w:numId w:val="2"/>
        </w:numPr>
        <w:spacing w:after="40" w:before="40" w:line="300"/>
      </w:pPr>
      <w:r>
        <w:rPr>
          <w:rFonts w:ascii="Calibri" w:cs="Calibri" w:eastAsia="Calibri" w:hAnsi="Calibri"/>
          <w:sz w:val="22"/>
          <w:szCs w:val="22"/>
        </w:rPr>
        <w:t xml:space="preserve">2012: Eroarea cumulată de calcul al soldelor este estimată la aproximativ 465 mil. € doar pentru acest an.</w:t>
      </w:r>
    </w:p>
    <w:p>
      <w:pPr>
        <w:pStyle w:val="ListParagraph"/>
        <w:numPr>
          <w:ilvl w:val="0"/>
          <w:numId w:val="2"/>
        </w:numPr>
        <w:spacing w:after="40" w:before="40" w:line="300"/>
      </w:pPr>
      <w:r>
        <w:rPr>
          <w:rFonts w:ascii="Calibri" w:cs="Calibri" w:eastAsia="Calibri" w:hAnsi="Calibri"/>
          <w:sz w:val="22"/>
          <w:szCs w:val="22"/>
        </w:rPr>
        <w:t xml:space="preserve">2013: Cour des comptes începe examinarea sistemului.</w:t>
      </w:r>
    </w:p>
    <w:p>
      <w:pPr>
        <w:pStyle w:val="ListParagraph"/>
        <w:numPr>
          <w:ilvl w:val="0"/>
          <w:numId w:val="2"/>
        </w:numPr>
        <w:spacing w:after="40" w:before="40" w:line="300"/>
      </w:pPr>
      <w:r>
        <w:rPr>
          <w:rFonts w:ascii="Calibri" w:cs="Calibri" w:eastAsia="Calibri" w:hAnsi="Calibri"/>
          <w:sz w:val="22"/>
          <w:szCs w:val="22"/>
        </w:rPr>
        <w:t xml:space="preserve">2014: Cour des comptes publică Référé 68579, acoperind perioada 1996–2013, adresat Ministrului Apărării.</w:t>
      </w:r>
    </w:p>
    <w:p>
      <w:pPr>
        <w:pStyle w:val="ListParagraph"/>
        <w:numPr>
          <w:ilvl w:val="0"/>
          <w:numId w:val="2"/>
        </w:numPr>
        <w:spacing w:after="40" w:before="40" w:line="300"/>
      </w:pPr>
      <w:r>
        <w:rPr>
          <w:rFonts w:ascii="Calibri" w:cs="Calibri" w:eastAsia="Calibri" w:hAnsi="Calibri"/>
          <w:sz w:val="22"/>
          <w:szCs w:val="22"/>
        </w:rPr>
        <w:t xml:space="preserve">2015–2020: Sistemul rămâne în producție „în regim degradat”, cu celule manuale de corecție, deoarece soldele nu pot fi suspendate pentru diagnosticare.</w:t>
      </w:r>
    </w:p>
    <w:p>
      <w:pPr>
        <w:pStyle w:val="ListParagraph"/>
        <w:numPr>
          <w:ilvl w:val="0"/>
          <w:numId w:val="2"/>
        </w:numPr>
        <w:spacing w:after="40" w:before="40" w:line="300"/>
      </w:pPr>
      <w:r>
        <w:rPr>
          <w:rFonts w:ascii="Calibri" w:cs="Calibri" w:eastAsia="Calibri" w:hAnsi="Calibri"/>
          <w:sz w:val="22"/>
          <w:szCs w:val="22"/>
        </w:rPr>
        <w:t xml:space="preserve">1 ianuarie 2021: Louvois este înlocuit definitiv cu Source Solde, pentru toate forțele armate.</w:t>
      </w:r>
    </w:p>
    <w:p>
      <w:r>
        <w:br w:type="page"/>
      </w:r>
    </w:p>
    <w:p>
      <w:pPr>
        <w:pStyle w:val="Heading1"/>
        <w:spacing w:after="180" w:before="360"/>
      </w:pPr>
      <w:r>
        <w:rPr>
          <w:rFonts w:ascii="Calibri" w:cs="Calibri" w:eastAsia="Calibri" w:hAnsi="Calibri"/>
          <w:b/>
          <w:bCs/>
          <w:color w:val="2F7A2F"/>
          <w:sz w:val="36"/>
          <w:szCs w:val="36"/>
        </w:rPr>
        <w:t xml:space="preserve">3. Simptome documentate</w:t>
      </w:r>
    </w:p>
    <w:p>
      <w:pPr>
        <w:spacing w:after="80" w:before="80" w:line="300"/>
        <w:jc w:val="both"/>
      </w:pPr>
      <w:r>
        <w:rPr>
          <w:rFonts w:ascii="Calibri" w:cs="Calibri" w:eastAsia="Calibri" w:hAnsi="Calibri"/>
          <w:b w:val="false"/>
          <w:bCs w:val="false"/>
          <w:i w:val="false"/>
          <w:iCs w:val="false"/>
          <w:sz w:val="22"/>
          <w:szCs w:val="22"/>
        </w:rPr>
        <w:t xml:space="preserve">Ce s-a observat public — cifre, întârzieri, eșecuri operaționale:</w:t>
      </w:r>
    </w:p>
    <w:p>
      <w:pPr>
        <w:pStyle w:val="ListParagraph"/>
        <w:numPr>
          <w:ilvl w:val="0"/>
          <w:numId w:val="2"/>
        </w:numPr>
        <w:spacing w:after="40" w:before="40" w:line="300"/>
      </w:pPr>
      <w:r>
        <w:rPr>
          <w:rFonts w:ascii="Calibri" w:cs="Calibri" w:eastAsia="Calibri" w:hAnsi="Calibri"/>
          <w:sz w:val="22"/>
          <w:szCs w:val="22"/>
        </w:rPr>
        <w:t xml:space="preserve">Mii de militari primesc solde incorecte (unii plătiți semnificativ în plus, alții sub-plătiți sistematic) — situație care durează ani.</w:t>
      </w:r>
    </w:p>
    <w:p>
      <w:pPr>
        <w:pStyle w:val="ListParagraph"/>
        <w:numPr>
          <w:ilvl w:val="0"/>
          <w:numId w:val="2"/>
        </w:numPr>
        <w:spacing w:after="40" w:before="40" w:line="300"/>
      </w:pPr>
      <w:r>
        <w:rPr>
          <w:rFonts w:ascii="Calibri" w:cs="Calibri" w:eastAsia="Calibri" w:hAnsi="Calibri"/>
          <w:sz w:val="22"/>
          <w:szCs w:val="22"/>
        </w:rPr>
        <w:t xml:space="preserve">Erorile de calcul al soldelor sunt estimate de Cour des comptes la aproximativ 465 mil. € doar pentru anul 2012.</w:t>
      </w:r>
    </w:p>
    <w:p>
      <w:pPr>
        <w:pStyle w:val="ListParagraph"/>
        <w:numPr>
          <w:ilvl w:val="0"/>
          <w:numId w:val="2"/>
        </w:numPr>
        <w:spacing w:after="40" w:before="40" w:line="300"/>
      </w:pPr>
      <w:r>
        <w:rPr>
          <w:rFonts w:ascii="Calibri" w:cs="Calibri" w:eastAsia="Calibri" w:hAnsi="Calibri"/>
          <w:sz w:val="22"/>
          <w:szCs w:val="22"/>
        </w:rPr>
        <w:t xml:space="preserve">Costul direct al proiectului (subcontractare, resurse umane interne, structuri de management) este estimat la ~80 mil. €.</w:t>
      </w:r>
    </w:p>
    <w:p>
      <w:pPr>
        <w:pStyle w:val="ListParagraph"/>
        <w:numPr>
          <w:ilvl w:val="0"/>
          <w:numId w:val="2"/>
        </w:numPr>
        <w:spacing w:after="40" w:before="40" w:line="300"/>
      </w:pPr>
      <w:r>
        <w:rPr>
          <w:rFonts w:ascii="Calibri" w:cs="Calibri" w:eastAsia="Calibri" w:hAnsi="Calibri"/>
          <w:sz w:val="22"/>
          <w:szCs w:val="22"/>
        </w:rPr>
        <w:t xml:space="preserve">Costurile suplimentare induse de disfuncții (celule de corecție manuală, plăți supplementaire, regularizări fiscale) sunt estimate la ~157 mil. € începând cu 2013.</w:t>
      </w:r>
    </w:p>
    <w:p>
      <w:pPr>
        <w:pStyle w:val="ListParagraph"/>
        <w:numPr>
          <w:ilvl w:val="0"/>
          <w:numId w:val="2"/>
        </w:numPr>
        <w:spacing w:after="40" w:before="40" w:line="300"/>
      </w:pPr>
      <w:r>
        <w:rPr>
          <w:rFonts w:ascii="Calibri" w:cs="Calibri" w:eastAsia="Calibri" w:hAnsi="Calibri"/>
          <w:sz w:val="22"/>
          <w:szCs w:val="22"/>
        </w:rPr>
        <w:t xml:space="preserve">Costul total agregat al eșecului Louvois este estimat la aproximativ 346 mil. €.</w:t>
      </w:r>
    </w:p>
    <w:p>
      <w:pPr>
        <w:pStyle w:val="ListParagraph"/>
        <w:numPr>
          <w:ilvl w:val="0"/>
          <w:numId w:val="2"/>
        </w:numPr>
        <w:spacing w:after="40" w:before="40" w:line="300"/>
      </w:pPr>
      <w:r>
        <w:rPr>
          <w:rFonts w:ascii="Calibri" w:cs="Calibri" w:eastAsia="Calibri" w:hAnsi="Calibri"/>
          <w:sz w:val="22"/>
          <w:szCs w:val="22"/>
        </w:rPr>
        <w:t xml:space="preserve">Sistemul nu poate fi oprit pentru diagnosticare aprofundată: soldele militarilor trebuie plătite lunar, fără întrerupere.</w:t>
      </w:r>
    </w:p>
    <w:p>
      <w:pPr>
        <w:pStyle w:val="ListParagraph"/>
        <w:numPr>
          <w:ilvl w:val="0"/>
          <w:numId w:val="2"/>
        </w:numPr>
        <w:spacing w:after="40" w:before="40" w:line="300"/>
      </w:pPr>
      <w:r>
        <w:rPr>
          <w:rFonts w:ascii="Calibri" w:cs="Calibri" w:eastAsia="Calibri" w:hAnsi="Calibri"/>
          <w:sz w:val="22"/>
          <w:szCs w:val="22"/>
        </w:rPr>
        <w:t xml:space="preserve">Dezvoltarea a durat 15 ani (1996–2011), cu multiple schimbări de furnizori și reorganizări.</w:t>
      </w:r>
    </w:p>
    <w:p>
      <w:pPr>
        <w:pStyle w:val="ListParagraph"/>
        <w:numPr>
          <w:ilvl w:val="0"/>
          <w:numId w:val="2"/>
        </w:numPr>
        <w:spacing w:after="40" w:before="40" w:line="300"/>
      </w:pPr>
      <w:r>
        <w:rPr>
          <w:rFonts w:ascii="Calibri" w:cs="Calibri" w:eastAsia="Calibri" w:hAnsi="Calibri"/>
          <w:sz w:val="22"/>
          <w:szCs w:val="22"/>
        </w:rPr>
        <w:t xml:space="preserve">Cour des comptes a caracterizat cazul ca eșec major, cu resurse publice cheltuite fără beneficii reale.</w:t>
      </w:r>
    </w:p>
    <w:p>
      <w:pPr>
        <w:pStyle w:val="Heading1"/>
        <w:spacing w:after="180" w:before="360"/>
      </w:pPr>
      <w:r>
        <w:rPr>
          <w:rFonts w:ascii="Calibri" w:cs="Calibri" w:eastAsia="Calibri" w:hAnsi="Calibri"/>
          <w:b/>
          <w:bCs/>
          <w:color w:val="2F7A2F"/>
          <w:sz w:val="36"/>
          <w:szCs w:val="36"/>
        </w:rPr>
        <w:t xml:space="preserve">4. Observații factuale suplimentare</w:t>
      </w:r>
    </w:p>
    <w:p>
      <w:pPr>
        <w:spacing w:after="80" w:before="80" w:line="300"/>
        <w:jc w:val="both"/>
      </w:pPr>
      <w:r>
        <w:rPr>
          <w:rFonts w:ascii="Calibri" w:cs="Calibri" w:eastAsia="Calibri" w:hAnsi="Calibri"/>
          <w:b w:val="false"/>
          <w:bCs w:val="false"/>
          <w:i w:val="false"/>
          <w:iCs w:val="false"/>
          <w:sz w:val="22"/>
          <w:szCs w:val="22"/>
        </w:rPr>
        <w:t xml:space="preserve">Elemente de context pe care auditorii le-au consemnat. Nu sunt concluzii — sunt fapte observabile:</w:t>
      </w:r>
    </w:p>
    <w:p>
      <w:pPr>
        <w:pStyle w:val="ListParagraph"/>
        <w:numPr>
          <w:ilvl w:val="0"/>
          <w:numId w:val="2"/>
        </w:numPr>
        <w:spacing w:after="40" w:before="40" w:line="300"/>
      </w:pPr>
      <w:r>
        <w:rPr>
          <w:rFonts w:ascii="Calibri" w:cs="Calibri" w:eastAsia="Calibri" w:hAnsi="Calibri"/>
          <w:sz w:val="22"/>
          <w:szCs w:val="22"/>
        </w:rPr>
        <w:t xml:space="preserve">Cele trei forțe armate (Armata de Uscat, Marina, Forțele Aeriene) aveau reguli salariale foarte diferite; aceste diferențe au fost tratate ca detalii de implementare tehnică, nu ca o problemă structurală a proiectului.</w:t>
      </w:r>
    </w:p>
    <w:p>
      <w:pPr>
        <w:pStyle w:val="ListParagraph"/>
        <w:numPr>
          <w:ilvl w:val="0"/>
          <w:numId w:val="2"/>
        </w:numPr>
        <w:spacing w:after="40" w:before="40" w:line="300"/>
      </w:pPr>
      <w:r>
        <w:rPr>
          <w:rFonts w:ascii="Calibri" w:cs="Calibri" w:eastAsia="Calibri" w:hAnsi="Calibri"/>
          <w:sz w:val="22"/>
          <w:szCs w:val="22"/>
        </w:rPr>
        <w:t xml:space="preserve">Nu a existat o structură unică de guvernanță peste cele trei forțe. Deciziile se luau, parțial, la nivel de fiecare forță, parțial la nivel de Minister.</w:t>
      </w:r>
    </w:p>
    <w:p>
      <w:pPr>
        <w:pStyle w:val="ListParagraph"/>
        <w:numPr>
          <w:ilvl w:val="0"/>
          <w:numId w:val="2"/>
        </w:numPr>
        <w:spacing w:after="40" w:before="40" w:line="300"/>
      </w:pPr>
      <w:r>
        <w:rPr>
          <w:rFonts w:ascii="Calibri" w:cs="Calibri" w:eastAsia="Calibri" w:hAnsi="Calibri"/>
          <w:sz w:val="22"/>
          <w:szCs w:val="22"/>
        </w:rPr>
        <w:t xml:space="preserve">Riscul „erori de calcul al soldelor la scară națională” nu apare, în raportul Cour des comptes, ca risc înregistrat și gestionat formal în perioada de pre-lansare (2010).</w:t>
      </w:r>
    </w:p>
    <w:p>
      <w:pPr>
        <w:pStyle w:val="ListParagraph"/>
        <w:numPr>
          <w:ilvl w:val="0"/>
          <w:numId w:val="2"/>
        </w:numPr>
        <w:spacing w:after="40" w:before="40" w:line="300"/>
      </w:pPr>
      <w:r>
        <w:rPr>
          <w:rFonts w:ascii="Calibri" w:cs="Calibri" w:eastAsia="Calibri" w:hAnsi="Calibri"/>
          <w:sz w:val="22"/>
          <w:szCs w:val="22"/>
        </w:rPr>
        <w:t xml:space="preserve">La Go-Live în 2011, nu există dovezi ale unui plan de rollback, ale unor criterii clare de UAT (User Acceptance Testing) îndeplinite, sau ale unui plan de monitorizare post-launch cu praguri de oprire.</w:t>
      </w:r>
    </w:p>
    <w:p>
      <w:pPr>
        <w:pStyle w:val="ListParagraph"/>
        <w:numPr>
          <w:ilvl w:val="0"/>
          <w:numId w:val="2"/>
        </w:numPr>
        <w:spacing w:after="40" w:before="40" w:line="300"/>
      </w:pPr>
      <w:r>
        <w:rPr>
          <w:rFonts w:ascii="Calibri" w:cs="Calibri" w:eastAsia="Calibri" w:hAnsi="Calibri"/>
          <w:sz w:val="22"/>
          <w:szCs w:val="22"/>
        </w:rPr>
        <w:t xml:space="preserve">După declanșarea erorilor masive în 2011–2012, sistemul a rămas în producție — nu există, în raport, evidențe ale unei proceduri de tip „stop-the-line” care să fi fost activată.</w:t>
      </w:r>
    </w:p>
    <w:p>
      <w:pPr>
        <w:pStyle w:val="ListParagraph"/>
        <w:numPr>
          <w:ilvl w:val="0"/>
          <w:numId w:val="2"/>
        </w:numPr>
        <w:spacing w:after="40" w:before="40" w:line="300"/>
      </w:pPr>
      <w:r>
        <w:rPr>
          <w:rFonts w:ascii="Calibri" w:cs="Calibri" w:eastAsia="Calibri" w:hAnsi="Calibri"/>
          <w:sz w:val="22"/>
          <w:szCs w:val="22"/>
        </w:rPr>
        <w:t xml:space="preserve">Beneficiile cuantificabile promise (economii administrative prin unificare) nu au fost definite cu indicatori clari la start și nu au fost măsurate după lansare.</w:t>
      </w:r>
    </w:p>
    <w:p>
      <w:pPr>
        <w:pStyle w:val="ListParagraph"/>
        <w:numPr>
          <w:ilvl w:val="0"/>
          <w:numId w:val="2"/>
        </w:numPr>
        <w:spacing w:after="40" w:before="40" w:line="300"/>
      </w:pPr>
      <w:r>
        <w:rPr>
          <w:rFonts w:ascii="Calibri" w:cs="Calibri" w:eastAsia="Calibri" w:hAnsi="Calibri"/>
          <w:sz w:val="22"/>
          <w:szCs w:val="22"/>
        </w:rPr>
        <w:t xml:space="preserve">Reclamațiile masive ale militarilor s-au acumulat lunar, dar nu au declanșat o escaladare automată către vârful decizional al Ministerului.</w:t>
      </w:r>
    </w:p>
    <w:p>
      <w:r>
        <w:br w:type="page"/>
      </w:r>
    </w:p>
    <w:p>
      <w:pPr>
        <w:pStyle w:val="Heading1"/>
        <w:spacing w:after="180" w:before="360"/>
      </w:pPr>
      <w:r>
        <w:rPr>
          <w:rFonts w:ascii="Calibri" w:cs="Calibri" w:eastAsia="Calibri" w:hAnsi="Calibri"/>
          <w:b/>
          <w:bCs/>
          <w:color w:val="2F7A2F"/>
          <w:sz w:val="36"/>
          <w:szCs w:val="36"/>
        </w:rPr>
        <w:t xml:space="preserve">5. Sarcini de lucru</w:t>
      </w:r>
    </w:p>
    <w:p>
      <w:pPr>
        <w:spacing w:after="80" w:before="80" w:line="300"/>
        <w:jc w:val="both"/>
      </w:pPr>
      <w:r>
        <w:rPr>
          <w:rFonts w:ascii="Calibri" w:cs="Calibri" w:eastAsia="Calibri" w:hAnsi="Calibri"/>
          <w:b w:val="false"/>
          <w:bCs w:val="false"/>
          <w:i w:val="false"/>
          <w:iCs w:val="false"/>
          <w:sz w:val="22"/>
          <w:szCs w:val="22"/>
        </w:rPr>
        <w:t xml:space="preserve">Atenție: nu există un singur răspuns corect. Judecata dvs. profesională, argumentată pe baza faptelor, este ceea ce se evaluează. Nu trebuie să aveți cunoștințe prealabile detaliate despre toate instrumentele COBIT — este suficient să aplicați principiile lui fundamentale.</w:t>
      </w:r>
    </w:p>
    <w:p>
      <w:pPr>
        <w:pStyle w:val="Heading2"/>
        <w:spacing w:after="120" w:before="280"/>
      </w:pPr>
      <w:r>
        <w:rPr>
          <w:rFonts w:ascii="Calibri" w:cs="Calibri" w:eastAsia="Calibri" w:hAnsi="Calibri"/>
          <w:b/>
          <w:bCs/>
          <w:color w:val="1F2A44"/>
          <w:sz w:val="28"/>
          <w:szCs w:val="28"/>
        </w:rPr>
        <w:t xml:space="preserve">Sarcina 1. Cauze-rădăcină potențiale (individual, 10 min)</w:t>
      </w:r>
    </w:p>
    <w:p>
      <w:pPr>
        <w:spacing w:after="80" w:before="80" w:line="300"/>
        <w:jc w:val="both"/>
      </w:pPr>
      <w:r>
        <w:rPr>
          <w:rFonts w:ascii="Calibri" w:cs="Calibri" w:eastAsia="Calibri" w:hAnsi="Calibri"/>
          <w:b w:val="false"/>
          <w:bCs w:val="false"/>
          <w:i w:val="false"/>
          <w:iCs w:val="false"/>
          <w:sz w:val="22"/>
          <w:szCs w:val="22"/>
        </w:rPr>
        <w:t xml:space="preserve">Pornind exclusiv de la faptele din secțiunile 1–4, identificați 3–5 cauze plauzibile ale eșecului proiectului. Pentru fiecare cauză, notați pe scurt faptul din fișă care vă susține ipoteza.</w:t>
      </w:r>
    </w:p>
    <w:p>
      <w:r>
        <w:rPr>
          <w:rFonts w:ascii="Calibri" w:cs="Calibri" w:eastAsia="Calibri" w:hAnsi="Calibri"/>
          <w:sz w:val="4"/>
          <w:szCs w:val="4"/>
        </w:rPr>
        <w:t xml:space="preserve"/>
      </w:r>
    </w:p>
    <w:p>
      <w:pPr>
        <w:spacing w:after="40" w:before="140"/>
      </w:pPr>
      <w:r>
        <w:rPr>
          <w:rFonts w:ascii="Calibri" w:cs="Calibri" w:eastAsia="Calibri" w:hAnsi="Calibri"/>
          <w:b/>
          <w:bCs/>
          <w:color w:val="595959"/>
          <w:sz w:val="22"/>
          <w:szCs w:val="22"/>
        </w:rPr>
        <w:t xml:space="preserve">Cauza 1:</w:t>
      </w:r>
    </w:p>
    <w:p>
      <w:pPr>
        <w:spacing w:after="80" w:before="0"/>
      </w:pPr>
      <w:r>
        <w:rPr>
          <w:rFonts w:ascii="Calibri" w:cs="Calibri" w:eastAsia="Calibri" w:hAnsi="Calibri"/>
          <w:i/>
          <w:iCs/>
          <w:color w:val="8C8C8C"/>
          <w:sz w:val="20"/>
          <w:szCs w:val="20"/>
        </w:rPr>
        <w:t xml:space="preserve">   Fapt(e) din fișă care susțin:</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2:</w:t>
      </w:r>
    </w:p>
    <w:p>
      <w:pPr>
        <w:spacing w:after="80" w:before="0"/>
      </w:pPr>
      <w:r>
        <w:rPr>
          <w:rFonts w:ascii="Calibri" w:cs="Calibri" w:eastAsia="Calibri" w:hAnsi="Calibri"/>
          <w:i/>
          <w:iCs/>
          <w:color w:val="8C8C8C"/>
          <w:sz w:val="20"/>
          <w:szCs w:val="20"/>
        </w:rPr>
        <w:t xml:space="preserve">   Fapt(e) din fișă care susțin:</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3:</w:t>
      </w:r>
    </w:p>
    <w:p>
      <w:pPr>
        <w:spacing w:after="80" w:before="0"/>
      </w:pPr>
      <w:r>
        <w:rPr>
          <w:rFonts w:ascii="Calibri" w:cs="Calibri" w:eastAsia="Calibri" w:hAnsi="Calibri"/>
          <w:i/>
          <w:iCs/>
          <w:color w:val="8C8C8C"/>
          <w:sz w:val="20"/>
          <w:szCs w:val="20"/>
        </w:rPr>
        <w:t xml:space="preserve">   Fapt(e) din fișă care susțin:</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4:</w:t>
      </w:r>
    </w:p>
    <w:p>
      <w:pPr>
        <w:spacing w:after="80" w:before="0"/>
      </w:pPr>
      <w:r>
        <w:rPr>
          <w:rFonts w:ascii="Calibri" w:cs="Calibri" w:eastAsia="Calibri" w:hAnsi="Calibri"/>
          <w:i/>
          <w:iCs/>
          <w:color w:val="8C8C8C"/>
          <w:sz w:val="20"/>
          <w:szCs w:val="20"/>
        </w:rPr>
        <w:t xml:space="preserve">   Fapt(e) din fișă care susțin:</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5:</w:t>
      </w:r>
    </w:p>
    <w:p>
      <w:pPr>
        <w:spacing w:after="80" w:before="0"/>
      </w:pPr>
      <w:r>
        <w:rPr>
          <w:rFonts w:ascii="Calibri" w:cs="Calibri" w:eastAsia="Calibri" w:hAnsi="Calibri"/>
          <w:i/>
          <w:iCs/>
          <w:color w:val="8C8C8C"/>
          <w:sz w:val="20"/>
          <w:szCs w:val="20"/>
        </w:rPr>
        <w:t xml:space="preserve">   Fapt(e) din fișă care susțin:</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r>
        <w:br w:type="page"/>
      </w:r>
    </w:p>
    <w:p>
      <w:pPr>
        <w:pStyle w:val="Heading2"/>
        <w:spacing w:after="120" w:before="280"/>
      </w:pPr>
      <w:r>
        <w:rPr>
          <w:rFonts w:ascii="Calibri" w:cs="Calibri" w:eastAsia="Calibri" w:hAnsi="Calibri"/>
          <w:b/>
          <w:bCs/>
          <w:color w:val="1F2A44"/>
          <w:sz w:val="28"/>
          <w:szCs w:val="28"/>
        </w:rPr>
        <w:t xml:space="preserve">Sarcina 2. Maparea pe COBIT (grup, 15 min)</w:t>
      </w:r>
    </w:p>
    <w:p>
      <w:pPr>
        <w:spacing w:after="80" w:before="80" w:line="300"/>
        <w:jc w:val="both"/>
      </w:pPr>
      <w:r>
        <w:rPr>
          <w:rFonts w:ascii="Calibri" w:cs="Calibri" w:eastAsia="Calibri" w:hAnsi="Calibri"/>
          <w:b w:val="false"/>
          <w:bCs w:val="false"/>
          <w:i w:val="false"/>
          <w:iCs w:val="false"/>
          <w:sz w:val="22"/>
          <w:szCs w:val="22"/>
        </w:rPr>
        <w:t xml:space="preserve">Pentru fiecare cauză identificată la Sarcina 1, numiți cel puțin o practică, un principiu, un artefact sau un obiectiv specific din COBIT care ar fi putut adresa direct acea cauză. Explicați pe scurt cum.</w:t>
      </w:r>
    </w:p>
    <w:p>
      <w:pPr>
        <w:spacing w:after="80" w:before="80" w:line="300"/>
        <w:jc w:val="both"/>
      </w:pPr>
      <w:r>
        <w:rPr>
          <w:rFonts w:ascii="Calibri" w:cs="Calibri" w:eastAsia="Calibri" w:hAnsi="Calibri"/>
          <w:b w:val="false"/>
          <w:bCs w:val="false"/>
          <w:i/>
          <w:iCs/>
          <w:sz w:val="22"/>
          <w:szCs w:val="22"/>
        </w:rPr>
        <w:t xml:space="preserve">Sugestii de repere pe care le puteți folosi (fără a vă limita la ele): </w:t>
      </w:r>
    </w:p>
    <w:p>
      <w:r>
        <w:rPr>
          <w:rFonts w:ascii="Calibri" w:cs="Calibri" w:eastAsia="Calibri" w:hAnsi="Calibri"/>
          <w:sz w:val="4"/>
          <w:szCs w:val="4"/>
        </w:rPr>
        <w:t xml:space="preserve"/>
      </w:r>
    </w:p>
    <w:p>
      <w:pPr>
        <w:spacing w:after="40" w:before="140"/>
      </w:pPr>
      <w:r>
        <w:rPr>
          <w:rFonts w:ascii="Calibri" w:cs="Calibri" w:eastAsia="Calibri" w:hAnsi="Calibri"/>
          <w:b/>
          <w:bCs/>
          <w:color w:val="595959"/>
          <w:sz w:val="22"/>
          <w:szCs w:val="22"/>
        </w:rPr>
        <w:t xml:space="preserve">Cauza 1 → element COBIT:</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2 → element COBIT:</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3 → element COBIT:</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4 → element COBIT:</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5 → element COBIT:</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r>
        <w:br w:type="page"/>
      </w:r>
    </w:p>
    <w:p>
      <w:pPr>
        <w:pStyle w:val="Heading2"/>
        <w:spacing w:after="120" w:before="280"/>
      </w:pPr>
      <w:r>
        <w:rPr>
          <w:rFonts w:ascii="Calibri" w:cs="Calibri" w:eastAsia="Calibri" w:hAnsi="Calibri"/>
          <w:b/>
          <w:bCs/>
          <w:color w:val="1F2A44"/>
          <w:sz w:val="28"/>
          <w:szCs w:val="28"/>
        </w:rPr>
        <w:t xml:space="preserve">Sarcina 3. Plan de corecție în 3 pași (grup, 10 min)</w:t>
      </w:r>
    </w:p>
    <w:p>
      <w:pPr>
        <w:spacing w:after="80" w:before="80" w:line="300"/>
        <w:jc w:val="both"/>
      </w:pPr>
      <w:r>
        <w:rPr>
          <w:rFonts w:ascii="Calibri" w:cs="Calibri" w:eastAsia="Calibri" w:hAnsi="Calibri"/>
          <w:b w:val="false"/>
          <w:bCs w:val="false"/>
          <w:i w:val="false"/>
          <w:iCs w:val="false"/>
          <w:sz w:val="22"/>
          <w:szCs w:val="22"/>
        </w:rPr>
        <w:t xml:space="preserve">Imaginați-vă că vi se cere să reluați proiectul din momentul de dinaintea primei crize majore. Propuneți 3 acțiuni concrete, în ordine de prioritate, prin care ați re-ancora proiectul pe COBIT. Fiecare acțiune: o frază cu acțiunea, o frază cu rezultatul așteptat, o frază cu cine o execută.</w:t>
      </w:r>
    </w:p>
    <w:p>
      <w:r>
        <w:rPr>
          <w:rFonts w:ascii="Calibri" w:cs="Calibri" w:eastAsia="Calibri" w:hAnsi="Calibri"/>
          <w:sz w:val="4"/>
          <w:szCs w:val="4"/>
        </w:rPr>
        <w:t xml:space="preserve"/>
      </w:r>
    </w:p>
    <w:p>
      <w:pPr>
        <w:spacing w:after="40" w:before="160"/>
      </w:pPr>
      <w:r>
        <w:rPr>
          <w:rFonts w:ascii="Calibri" w:cs="Calibri" w:eastAsia="Calibri" w:hAnsi="Calibri"/>
          <w:b/>
          <w:bCs/>
          <w:color w:val="595959"/>
          <w:sz w:val="22"/>
          <w:szCs w:val="22"/>
        </w:rPr>
        <w:t xml:space="preserve">Pasul 1</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60"/>
      </w:pPr>
      <w:r>
        <w:rPr>
          <w:rFonts w:ascii="Calibri" w:cs="Calibri" w:eastAsia="Calibri" w:hAnsi="Calibri"/>
          <w:b/>
          <w:bCs/>
          <w:color w:val="595959"/>
          <w:sz w:val="22"/>
          <w:szCs w:val="22"/>
        </w:rPr>
        <w:t xml:space="preserve">Pasul 2</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60"/>
      </w:pPr>
      <w:r>
        <w:rPr>
          <w:rFonts w:ascii="Calibri" w:cs="Calibri" w:eastAsia="Calibri" w:hAnsi="Calibri"/>
          <w:b/>
          <w:bCs/>
          <w:color w:val="595959"/>
          <w:sz w:val="22"/>
          <w:szCs w:val="22"/>
        </w:rPr>
        <w:t xml:space="preserve">Pasul 3</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pStyle w:val="Heading2"/>
        <w:spacing w:after="120" w:before="280"/>
      </w:pPr>
      <w:r>
        <w:rPr>
          <w:rFonts w:ascii="Calibri" w:cs="Calibri" w:eastAsia="Calibri" w:hAnsi="Calibri"/>
          <w:b/>
          <w:bCs/>
          <w:color w:val="1F2A44"/>
          <w:sz w:val="28"/>
          <w:szCs w:val="28"/>
        </w:rPr>
        <w:t xml:space="preserve">Reflecție finală (individual, 5 min)</w:t>
      </w:r>
    </w:p>
    <w:p>
      <w:pPr>
        <w:spacing w:after="80" w:before="80" w:line="300"/>
        <w:jc w:val="both"/>
      </w:pPr>
      <w:r>
        <w:rPr>
          <w:rFonts w:ascii="Calibri" w:cs="Calibri" w:eastAsia="Calibri" w:hAnsi="Calibri"/>
          <w:b w:val="false"/>
          <w:bCs w:val="false"/>
          <w:i w:val="false"/>
          <w:iCs w:val="false"/>
          <w:sz w:val="22"/>
          <w:szCs w:val="22"/>
        </w:rPr>
        <w:t xml:space="preserve">Notați un lucru din acest caz pe care l-ați aplica într-un proiect IT&amp;C al MAI și de ce:</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95959"/>
        <w:sz w:val="18"/>
        <w:szCs w:val="18"/>
      </w:rPr>
      <w:t xml:space="preserve">Pagina </w:t>
    </w:r>
    <w:r>
      <w:rPr>
        <w:rFonts w:ascii="Calibri" w:cs="Calibri" w:eastAsia="Calibri" w:hAnsi="Calibri"/>
        <w:color w:val="595959"/>
        <w:sz w:val="18"/>
        <w:szCs w:val="18"/>
      </w:rPr>
      <w:fldChar w:fldCharType="begin"/>
      <w:instrText xml:space="preserve">PAGE</w:instrText>
      <w:fldChar w:fldCharType="separate"/>
      <w:fldChar w:fldCharType="end"/>
    </w:r>
    <w:r>
      <w:rPr>
        <w:rFonts w:ascii="Calibri" w:cs="Calibri" w:eastAsia="Calibri" w:hAnsi="Calibri"/>
        <w:color w:val="595959"/>
        <w:sz w:val="18"/>
        <w:szCs w:val="18"/>
      </w:rPr>
      <w:t xml:space="preserve"> din </w:t>
    </w:r>
    <w:r>
      <w:rPr>
        <w:rFonts w:ascii="Calibri" w:cs="Calibri" w:eastAsia="Calibri" w:hAnsi="Calibri"/>
        <w:color w:val="59595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F7A2F" w:sz="8" w:space="1"/>
      </w:pBdr>
      <w:jc w:val="right"/>
    </w:pPr>
    <w:r>
      <w:rPr>
        <w:rFonts w:ascii="Calibri" w:cs="Calibri" w:eastAsia="Calibri" w:hAnsi="Calibri"/>
        <w:color w:val="595959"/>
        <w:sz w:val="18"/>
        <w:szCs w:val="18"/>
      </w:rPr>
      <w:t xml:space="preserve">Fișă 6 — Louvois — Sistemul Unic de Soldă al Armatelor (Ministerul Apărării, Franța)   •   MAI IT&amp;C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decimal"/>
      <w:lvlText w:val="%1."/>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2A44"/>
      <w:sz w:val="36"/>
      <w:szCs w:val="36"/>
    </w:rPr>
  </w:style>
  <w:style w:type="paragraph" w:styleId="Heading2">
    <w:name w:val="Heading 2"/>
    <w:basedOn w:val="Normal"/>
    <w:next w:val="Normal"/>
    <w:qFormat/>
    <w:pPr>
      <w:spacing w:after="120" w:before="280"/>
      <w:outlineLvl w:val="1"/>
    </w:pPr>
    <w:rPr>
      <w:rFonts w:ascii="Calibri" w:cs="Calibri" w:eastAsia="Calibri" w:hAnsi="Calibri"/>
      <w:b/>
      <w:bCs/>
      <w:color w:val="1F2A44"/>
      <w:sz w:val="28"/>
      <w:szCs w:val="28"/>
    </w:rPr>
  </w:style>
  <w:style w:type="paragraph" w:styleId="Heading3">
    <w:name w:val="Heading 3"/>
    <w:basedOn w:val="Normal"/>
    <w:next w:val="Normal"/>
    <w:qFormat/>
    <w:pPr>
      <w:spacing w:after="80" w:before="200"/>
      <w:outlineLvl w:val="2"/>
    </w:pPr>
    <w:rPr>
      <w:rFonts w:ascii="Calibri" w:cs="Calibri" w:eastAsia="Calibri" w:hAnsi="Calibri"/>
      <w:b/>
      <w:bCs/>
      <w:color w:val="1F2A4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Fișă 6 — Louvois — Sistemul Unic de Soldă al Armatelor (Ministerul Apărării, Franța)</dc:title>
  <dc:creator>Trainer MAI IT&amp;C</dc:creator>
  <dc:description>Material de curs MAI IT&amp;C 2026</dc:description>
  <cp:lastModifiedBy>Un-named</cp:lastModifiedBy>
  <cp:revision>1</cp:revision>
  <dcterms:created xsi:type="dcterms:W3CDTF">2026-04-18T11:20:25.281Z</dcterms:created>
  <dcterms:modified xsi:type="dcterms:W3CDTF">2026-04-18T11:20:25.281Z</dcterms:modified>
</cp:coreProperties>
</file>

<file path=docProps/custom.xml><?xml version="1.0" encoding="utf-8"?>
<Properties xmlns="http://schemas.openxmlformats.org/officeDocument/2006/custom-properties" xmlns:vt="http://schemas.openxmlformats.org/officeDocument/2006/docPropsVTypes"/>
</file>