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2400"/>
        <w:jc w:val="center"/>
      </w:pPr>
      <w:r>
        <w:rPr>
          <w:rFonts w:ascii="Calibri" w:cs="Calibri" w:eastAsia="Calibri" w:hAnsi="Calibri"/>
          <w:b/>
          <w:bCs/>
          <w:color w:val="595959"/>
          <w:sz w:val="28"/>
          <w:szCs w:val="28"/>
        </w:rPr>
        <w:t xml:space="preserve">GHID FORMATOR</w:t>
      </w:r>
    </w:p>
    <w:p>
      <w:pPr>
        <w:spacing w:after="160" w:before="60"/>
        <w:jc w:val="center"/>
      </w:pPr>
      <w:r>
        <w:rPr>
          <w:rFonts w:ascii="Calibri" w:cs="Calibri" w:eastAsia="Calibri" w:hAnsi="Calibri"/>
          <w:b/>
          <w:bCs/>
          <w:color w:val="1F2A44"/>
          <w:sz w:val="44"/>
          <w:szCs w:val="44"/>
        </w:rPr>
        <w:t xml:space="preserve">Studii de caz — Eșecuri IT&amp;C UE</w:t>
      </w:r>
    </w:p>
    <w:p>
      <w:pPr>
        <w:spacing w:after="400" w:before="60"/>
        <w:jc w:val="center"/>
      </w:pPr>
      <w:r>
        <w:rPr>
          <w:rFonts w:ascii="Calibri" w:cs="Calibri" w:eastAsia="Calibri" w:hAnsi="Calibri"/>
          <w:i/>
          <w:iCs/>
          <w:color w:val="595959"/>
          <w:sz w:val="26"/>
          <w:szCs w:val="26"/>
        </w:rPr>
        <w:t xml:space="preserve">Cheie de răspuns, întrebări ajutătoare și plan de activitate</w:t>
      </w:r>
    </w:p>
    <w:p>
      <w:pPr>
        <w:spacing w:after="60" w:before="2400"/>
        <w:jc w:val="center"/>
      </w:pPr>
      <w:r>
        <w:rPr>
          <w:rFonts w:ascii="Calibri" w:cs="Calibri" w:eastAsia="Calibri" w:hAnsi="Calibri"/>
          <w:color w:val="595959"/>
          <w:sz w:val="24"/>
          <w:szCs w:val="24"/>
        </w:rPr>
        <w:t xml:space="preserve">Curs de formare IT&amp;C — Ministerul Afacerilor Interne</w:t>
      </w:r>
    </w:p>
    <w:p>
      <w:pPr>
        <w:spacing w:after="60" w:before="60"/>
        <w:jc w:val="center"/>
      </w:pPr>
      <w:r>
        <w:rPr>
          <w:rFonts w:ascii="Calibri" w:cs="Calibri" w:eastAsia="Calibri" w:hAnsi="Calibri"/>
          <w:color w:val="595959"/>
          <w:sz w:val="24"/>
          <w:szCs w:val="24"/>
        </w:rPr>
        <w:t xml:space="preserve">Aprilie 2026</w:t>
      </w:r>
    </w:p>
    <w:p>
      <w:r>
        <w:br w:type="page"/>
      </w:r>
    </w:p>
    <w:p>
      <w:pPr>
        <w:pStyle w:val="Heading1"/>
        <w:spacing w:after="180" w:before="360"/>
      </w:pPr>
      <w:r>
        <w:rPr>
          <w:rFonts w:ascii="Calibri" w:cs="Calibri" w:eastAsia="Calibri" w:hAnsi="Calibri"/>
          <w:b/>
          <w:bCs/>
          <w:color w:val="1F2A44"/>
          <w:sz w:val="36"/>
          <w:szCs w:val="36"/>
        </w:rPr>
        <w:t xml:space="preserve">1. Cum folosiți acest ghid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Acest ghid este pentru uzul exclusiv al formatorului. Conține: pentru fiecare dintre cele 6 studii de caz, prezentarea succintă, obiectivele didactice, durata sugerată, întrebările ajutătoare pentru moment-ele în care cursanții se blochează, cheia de răspuns (cauze-rădăcină + maparea pe metodologie), capcanele comune și punctele de debrief. Este conceput să fie consultat în timpul activității, nu doar în pregătire.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Regulă esențială: NU distribuiți niciodată acest ghid cursanților înainte sau în timpul exercițiului. Debrief-ul după Sarcina 3 este momentul în care folosiți cheia de răspuns — până atunci, cursanții trebuie să ajungă la concluzii prin forțe proprii, cu întrebările ajutătoare ca singur sprijin.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Principii de facilitare comune tuturor celor 6 cazuri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Nu confirmați direct dacă o cauză identificată de cursant este „corectă”. Returnați întrebarea: „Ce fapt din fișă te face să crezi asta?”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Dacă un grup se blochează, folosiți întrebările ajutătoare din secțiunea cazului respectiv — nu dați răspunsul.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Încurajați cursanții să fie specifici în maparea pe metodologie. „Ar fi ajutat Agile” nu este suficient; „Retrospectiva trimestrială ar fi surprins semnalul de non-adopție din 2006” este răspunsul de nivel profesional.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Dacă un grup ajunge rapid la răspunsuri care coincid cu cheia — excelent. Împingeți-l mai departe: „Care e limitele acestei concluzii? Ce nu vedeți în datele din fișă?”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În debrief, evidențiați întotdeauna că un proiect rar eșuează dintr-o singură cauză, iar metodologiile Agile/TOGAF/COBIT nu sunt mutually exclusive.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Plan general de timp pentru activitate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10 min — introducere formator: contextul exercițiului, regulile jocului, distribuirea fișelor (fiecare grup primește o fișă diferită, sau toți grupurile aceeași fișă, în funcție de opțiunea formatorului).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10 min — citire individuală a fișei (Sarcina 1 în desfășurare).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25 min — lucru în grup (Sarcina 1 finalizată + Sarcina 2 + Sarcina 3).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15 min — prezentare a concluziilor fiecărui grup în plen (2–3 min / grup).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15 min — debrief cu formatorul, folosind cheia de răspuns din acest ghid.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5 min — reflecție individuală și închidere.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b w:val="false"/>
          <w:bCs w:val="false"/>
          <w:i/>
          <w:iCs/>
          <w:sz w:val="22"/>
          <w:szCs w:val="22"/>
        </w:rPr>
        <w:t xml:space="preserve">Durata totală: ~80 minute. Pentru sesiuni mai scurte (45–50 min), reduceți Sarcina 3 și debrief-ul plenar; păstrați obligatoriu Sarcinile 1 și 2.</w:t>
      </w:r>
    </w:p>
    <w:p>
      <w:r>
        <w:br w:type="page"/>
      </w:r>
    </w:p>
    <w:p>
      <w:pPr>
        <w:pStyle w:val="Heading1"/>
        <w:spacing w:after="180" w:before="360"/>
      </w:pPr>
      <w:r>
        <w:rPr>
          <w:rFonts w:ascii="Calibri" w:cs="Calibri" w:eastAsia="Calibri" w:hAnsi="Calibri"/>
          <w:b/>
          <w:bCs/>
          <w:color w:val="1F2A44"/>
          <w:sz w:val="36"/>
          <w:szCs w:val="36"/>
        </w:rPr>
        <w:t xml:space="preserve">2. Panoul de ansamblu al celor 6 cazuri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800"/>
        <w:gridCol w:w="1400"/>
        <w:gridCol w:w="4560"/>
      </w:tblGrid>
      <w:tr>
        <w:trPr>
          <w:tblHeader/>
        </w:trP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2A44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#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2A44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Caz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2A44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Metodologie</w:t>
            </w:r>
          </w:p>
        </w:tc>
        <w:tc>
          <w:tcPr>
            <w:tcW w:type="dxa" w:w="4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2A44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Ideea didactică centrală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1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NHS NPfIT (Marea)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0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B61A4"/>
                <w:sz w:val="22"/>
                <w:szCs w:val="22"/>
              </w:rPr>
              <w:t xml:space="preserve">Agile</w:t>
            </w:r>
          </w:p>
        </w:tc>
        <w:tc>
          <w:tcPr>
            <w:tcW w:type="dxa" w:w="4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NPfIT este cazul-școală de „cascadă la scară națională” într-un sector unde utilizatorii finali au nevoi foarte variate și greu previzibile (clinica medicală).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2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eHDSI (Uniunea)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0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B61A4"/>
                <w:sz w:val="22"/>
                <w:szCs w:val="22"/>
              </w:rPr>
              <w:t xml:space="preserve">Agile</w:t>
            </w:r>
          </w:p>
        </w:tc>
        <w:tc>
          <w:tcPr>
            <w:tcW w:type="dxa" w:w="4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eHDSI este cazul-școală pentru „overconfidence planning” într-un context multi-jurisdicțional.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3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SIS II (Uniunea)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4E0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B95C00"/>
                <w:sz w:val="22"/>
                <w:szCs w:val="22"/>
              </w:rPr>
              <w:t xml:space="preserve">TOGAF</w:t>
            </w:r>
          </w:p>
        </w:tc>
        <w:tc>
          <w:tcPr>
            <w:tcW w:type="dxa" w:w="4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SIS II este cazul-școală pentru „arhitectură care evoluează fără ancoră”.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4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Sistemele IT ale Uniunii Vamale UE (Codul Vamal al Uniunii (Uniunea)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4E0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B95C00"/>
                <w:sz w:val="22"/>
                <w:szCs w:val="22"/>
              </w:rPr>
              <w:t xml:space="preserve">TOGAF</w:t>
            </w:r>
          </w:p>
        </w:tc>
        <w:tc>
          <w:tcPr>
            <w:tcW w:type="dxa" w:w="4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UCC este cazul-școală pentru „portofoliu arhitectural fără arhitect de portofoliu”.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5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Galileo (Uniunea)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EF7EB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F7A2F"/>
                <w:sz w:val="22"/>
                <w:szCs w:val="22"/>
              </w:rPr>
              <w:t xml:space="preserve">COBIT</w:t>
            </w:r>
          </w:p>
        </w:tc>
        <w:tc>
          <w:tcPr>
            <w:tcW w:type="dxa" w:w="4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Galileo este cazul-școală de guvernanță IT slabă într-un program strategic multi-actor.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6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Louvois (Franța)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EF7EB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F7A2F"/>
                <w:sz w:val="22"/>
                <w:szCs w:val="22"/>
              </w:rPr>
              <w:t xml:space="preserve">COBIT</w:t>
            </w:r>
          </w:p>
        </w:tc>
        <w:tc>
          <w:tcPr>
            <w:tcW w:type="dxa" w:w="4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Louvois este cazul-școală de „absență totală de guvernanță IT” într-un program strategic național.</w:t>
            </w:r>
          </w:p>
        </w:tc>
      </w:tr>
    </w:tbl>
    <w:p>
      <w:r>
        <w:br w:type="page"/>
      </w:r>
    </w:p>
    <w:p>
      <w:pPr>
        <w:pStyle w:val="Heading1"/>
        <w:spacing w:after="180" w:before="360"/>
      </w:pPr>
      <w:r>
        <w:rPr>
          <w:rFonts w:ascii="Calibri" w:cs="Calibri" w:eastAsia="Calibri" w:hAnsi="Calibri"/>
          <w:b/>
          <w:bCs/>
          <w:color w:val="0B61A4"/>
          <w:sz w:val="36"/>
          <w:szCs w:val="36"/>
        </w:rPr>
        <w:t xml:space="preserve">3. Caz 1. NHS NPfIT</w:t>
      </w:r>
    </w:p>
    <w:p>
      <w:pPr>
        <w:pBdr>
          <w:bottom w:val="single" w:color="0B61A4" w:sz="24" w:space="1"/>
        </w:pBdr>
        <w:spacing w:after="180" w:before="0"/>
      </w:pPr>
      <w:r>
        <w:rPr>
          <w:rFonts w:ascii="Calibri" w:cs="Calibri" w:eastAsia="Calibri" w:hAnsi="Calibri"/>
          <w:sz w:val="2"/>
          <w:szCs w:val="2"/>
        </w:rPr>
        <w:t xml:space="preserve"/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Prezentare succintă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NPfIT este cazul-școală de „cascadă la scară națională” într-un sector unde utilizatorii finali au nevoi foarte variate și greu previzibile (clinica medicală). Exercițiul pune cursanții în poziția unui consultant care trebuie să diagnosticheze eșecul și să recomande o abordare alternativă Agile. Focalizați discuția pe diferența dintre „consultare episodică” și „colaborare continuă” cu utilizatorii.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Durată și obiective didactice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</w:rPr>
        <w:t xml:space="preserve">60 minute (20 min citire individuală + 25 min lucru în grupuri de 3–4 + 15 min debrief plenar)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Cursanții identifică 4–6 cauze-rădăcină plauzibile, pornind exclusiv de la faptele prezentate.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Cursanții conectează fiecare cauză cu cel puțin o practică concretă Agile (Product Owner, sprint, retrospective, MVP, backlog etc.).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Cursanții propun un plan de corecție în 3 pași, realist la scara unui sistem național.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Întrebări ajutătoare (pentru moment-ele în care cursanții se blochează)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Folosiți aceste întrebări STRICT ca re-direcționare; nu confirmați și nu infirmați direct răspunsul studentului.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1. Cine este utilizatorul final al unui sistem de dosar medical electronic? Când și cum a fost implicat acest utilizator în NPfIT?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2. Care este diferența dintre „consultarea” unui utilizator și „colaborarea” cu el în Agile? Pe care dintre acestea o vedeți în cazul NPfIT?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3. Ce s-ar fi întâmplat dacă NPfIT ar fi început cu un singur spital-pilot timp de 6 luni? Ce am fi învățat care, în realitate, s-a învățat abia după 6 ani?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4. Un contract pe 10 ani cu specificații largi este compatibil cu principiul Agile „responding to change over following a plan”? Argumentați.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5. Dacă ați fi fost Scrum Master pe NPfIT în 2005, ce ceremonie Agile ați fi folosit pentru a sesiza primul semnal slab (weak signal) despre lipsa de adopție?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Cheie de răspuns — cauze-rădăcină plauzibile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Acestea sunt cauzele pe care cursanții ar trebui să le poată identifica, integral sau parțial, pornind de la fapte. Dacă un grup identifică o cauză pe care noi nu am listat-o și o susține cu fapte din fișă, este valid — nu o respingeți.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1. Implicare insuficientă a utilizatorilor finali (end-user engagement). Clinicienii au fost consultați episodic prin focus-grupuri, nu integrați continuu ca Product Owners ai fluxurilor clinice. Rezultatul: sistem incompatibil cu practica reală.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2. Abordare „big-bang” la scară națională. Nu a existat un pilot pe o singură unitate NHS, apoi pe un cluster, apoi pe o regiune. Riscurile de integrare s-au manifestat toate simultan.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3. Contracte în cascadă („waterfall”), cu specificații largi semnate înainte de orice validare empirică. Furnizorii erau contractual obligați să livreze ceva ce nimeni nu validase în teren.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4. Subestimarea variabilității fluxurilor clinice. NHS include peste 60 de tipuri de organizații (Trusts) cu fluxuri extrem de diferite (trauma, oncologie, psihiatrie, comunitate etc.). Un produs unic, „one-size-fits-all”, a fost o ipoteză nedemonstrată.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5. Absența ciclului „inspect and adapt” la nivel de program. Nu existau retrospective periodice care să conducă la schimbări de curs — corecțiile s-au făcut doar prin renegocieri contractuale, sub presiune.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6. Obiective fixe pe 10 ani într-un domeniu cu ciclu rapid de schimbare (digital health). Specificațiile congelate au devenit rapid învechite.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Cheie de răspuns — maparea pe Agile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1. „Individuals and interactions over processes and tools” → Product Owner din rândul clinicienilor la nivel de specialitate (cardiologie, chirurgie, medicină generală), nu focus-grupuri ocazionale.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2. „Working software over comprehensive documentation” → MVP pe un singur Trust pilot (ex. un spital universitar + cabinetele de GP asociate) în 6–9 luni, înainte de extindere.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3. „Customer collaboration over contract negotiation” → relații contractuale construite pe ciclu de iterație, cu livrabile măsurate pe teren și posibilitate de re-prioritizare trimestrială.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4. „Responding to change over following a plan” → backlog viu per specialitate medicală, cu priorități revizuite trimestrial; renunțarea la specificațiile pe 10 ani.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5. Retrospective la nivel de program trimestrial, cu decizie de continuare/oprire pentru fiecare componentă — ar fi semnalat probleme Fujitsu cu ani mai devreme.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6. Story mapping pentru fluxurile clinice cheie (consultație ambulatorie, tur de vizită, externare, transfer inter-secții) înainte de orice dezvoltare majoră.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Capcane comune ale cursanților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Cursanții pot rămâne la „nu au ascultat utilizatorii” — împingeți-i să fie specifici: când, cum, cu ce cadență, prin ce rol?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Tentația de a blama furnizorii (CSC, Fujitsu). Contra-întrebare: dacă ai fi fost furnizor, cum ai fi putut negocia diferit?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Confuzia între „pilot” și „Proof of Concept”. Subliniați: pilot = versiune reală, în producție, la scară mică.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Unii cursanți vor propune doar „mai multă analiză la început” — asta e exact abordarea cascadă. Redirecționați spre „mai puțin, mai des, cu validare reală”.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Puncte pentru debrief în plen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Comparați NPfIT cu cazul eHDSI (Caz 2) — ambele eșuează pe planificare prea optimistă, dar unul este „big-bang”, celălalt este „multi-stat fără iterație”.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Discutați: Agile la scară de program național este realist? Ce cadre există (SAFe, LeSS, Nexus)? Menționați că Agile nu înseamnă „fără planificare”, ci „planificare validată iterativ”.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Întrebare finală deschisă: ce ar face diferit Ministerul MAI într-un proiect de digitalizare a unei funcții administrative, pe baza acestui caz?</w:t>
      </w:r>
    </w:p>
    <w:p>
      <w:r>
        <w:br w:type="page"/>
      </w:r>
    </w:p>
    <w:p>
      <w:pPr>
        <w:pStyle w:val="Heading1"/>
        <w:spacing w:after="180" w:before="360"/>
      </w:pPr>
      <w:r>
        <w:rPr>
          <w:rFonts w:ascii="Calibri" w:cs="Calibri" w:eastAsia="Calibri" w:hAnsi="Calibri"/>
          <w:b/>
          <w:bCs/>
          <w:color w:val="0B61A4"/>
          <w:sz w:val="36"/>
          <w:szCs w:val="36"/>
        </w:rPr>
        <w:t xml:space="preserve">4. Caz 2. eHDSI</w:t>
      </w:r>
    </w:p>
    <w:p>
      <w:pPr>
        <w:pBdr>
          <w:bottom w:val="single" w:color="0B61A4" w:sz="24" w:space="1"/>
        </w:pBdr>
        <w:spacing w:after="180" w:before="0"/>
      </w:pPr>
      <w:r>
        <w:rPr>
          <w:rFonts w:ascii="Calibri" w:cs="Calibri" w:eastAsia="Calibri" w:hAnsi="Calibri"/>
          <w:sz w:val="2"/>
          <w:szCs w:val="2"/>
        </w:rPr>
        <w:t xml:space="preserve"/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Prezentare succintă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eHDSI este cazul-școală pentru „overconfidence planning” într-un context multi-jurisdicțional. Ținta celor 12 state a fost anunțată politic, nu tehnic. Folosiți cazul pentru a arăta că Agile nu înseamnă „fără plan”, ci „plan care se adaptează”. Contrastul FI–EE (cel mai ușor cuplaj) vs. țintă de 12 state este didactic puternic.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Durată și obiective didactice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</w:rPr>
        <w:t xml:space="preserve">60 minute (15 min citire + 30 min lucru în grupuri + 15 min debrief)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Cursanții disting între planificare deterministă și planificare iterativă.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Cursanții schițează un roadmap incremental pentru 2015–2019 (ce ar fi livrat în fiecare trimestru).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Cursanții propun indicatori obiectivi de progres care să înlocuiască ținte politice ca „12 state în 2018”.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Întrebări ajutătoare (pentru moment-ele în care cursanții se blochează)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Folosiți aceste întrebări STRICT ca re-direcționare; nu confirmați și nu infirmați direct răspunsul studentului.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1. Dacă ar fi trebuit să alegeți prima pereche de state pentru un pilot, care ar fi fost și de ce? Care e diferența între „pilot bilateral” și „lansare multilaterală”?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2. Ce metrică ați urmări trimestrial ca să știți dacă eHDSI funcționează: număr de NCPeH-uri construite? număr de schimburi reale? număr de pacienți serviți?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3. Cum comunică Comisia că „ținta de 12 state nu mai e realistă”? Ce ar însemna, din Agile, să recalibrați public o așteptare?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4. Care e riscul maxim dacă primul schimb eșuează într-un stat-pilot? Comparați cu riscul dacă eșuează simultan în 12 state.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5. Ce definiție a „Done” aplicați pentru eHDSI? Nod NCPeH operațional? Primul schimb? Primele 100 de schimburi? Primul schimb fără intervenție umană?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Cheie de răspuns — cauze-rădăcină plauzibile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Acestea sunt cauzele pe care cursanții ar trebui să le poată identifica, integral sau parțial, pornind de la fapte. Dacă un grup identifică o cauză pe care noi nu am listat-o și o susține cu fapte din fișă, este valid — nu o respingeți.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1. Planificare prea optimistă și determinist-politică. Ținta de „12 State Membre în 2018” a fost anunțată public fără validare empirică pe un pilot real.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2. Absența unui MVP explicit. Primul schimb FI–EE s-a produs de facto ca pilot, dar fără a fi planificat și comunicat ca atare; următoarele state au fost invitate să urmeze, nu au învățat dintr-o structură de validare clară.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3. Subestimarea complexității semantice și organizaționale. Interoperabilitatea între sisteme naționale de sănătate nu e un detaliu de API, ci o problemă de ontologie medicală și de guvernanță locală.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4. Absența unui cadru de recalibrare. Nu exista un mecanism public prin care Comisia să anunțe „ținta inițială nu mai e realistă, revizuim la X”.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5. Indicatori de performanță inadecvați. Finanțarea a mers către „construire de noduri NCPeH”, nu către „realizarea efectivă de schimburi”. Output vs. outcome.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6. Lipsa unei cadențe de sincronizare între State Membre. Nu există dovezi ale unor „sprint reviews” comune trimestriale.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Cheie de răspuns — maparea pe Agile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1. MVP = „Primul Rezumat al Pacientului schimbat în producție între 2 state pereche”. În loc de 12 state, începeți cu 1 pereche (FI-EE), apoi 2 perechi, apoi 4.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2. Definition of Done în etape: (1) primul schimb real, (2) primele 100, (3) primele 1000, (4) schimburi fără intervenție umană.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3. Roadmap incremental per pereche de state, cu planificare trimestrială și demo-uri publice între National Contact Points.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4. Sprint review trimestrial la nivel european: NCPeH-urile participante prezintă progres real, identifică blocaje, re-prioritizează.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5. Inspect &amp; Adapt: la T+6 luni (finalul lui 2016), re-evaluare explicită a țintei „12 state în 2018”, cu ajustare publică dacă e cazul.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6. Definition of Ready pentru fiecare stat: criterii clare de „gata pentru conectare” (infrastructură NCPeH, acord legal, nomenclator medical mapat, echipă de suport operațional).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7. Indicatori de outcome (nu de output): număr de pacienți cu schimb reușit, timp mediu de obținere a datelor, satisfacție clinician.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Capcane comune ale cursanților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Cursanții pot argumenta că „între state e prea complicat pentru Agile”. Contra: tocmai complexitatea impune validare iterativă, nu o exclude.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Tentația de a da vina pe GDPR sau pe diversitatea legislativă. Contra-întrebare: cum reușesc FI și EE în 2019? Ce fac diferit?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Confuzia între „produs livrat” și „produs folosit”. Subliniați: un nod NCPeH operațional = output; un schimb real între doi medici = outcome.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Unii vor propune „mai multă centralizare”. Contra: eHDSI este deja centralizat (Central Services). Problema nu e arhitectura tehnică, e cadența de livrare.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Puncte pentru debrief în plen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Paralelă explicită cu NPfIT (Caz 1): ambele eșecuri de planificare optimistă, unul intra-național, altul transfrontalier.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Discuție: cum ar arăta un „Agile release train” (gândiți SAFe) cu Statele Membre ca echipe? Ce ceremonii ar fi necesare?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Aplicație MAI: într-un proiect de interoperabilitate trans-instituțională în România (de ex. MAI–ANAF–Sănătate), cum ar arăta un MVP bilateral înainte de extindere națională?</w:t>
      </w:r>
    </w:p>
    <w:p>
      <w:r>
        <w:br w:type="page"/>
      </w:r>
    </w:p>
    <w:p>
      <w:pPr>
        <w:pStyle w:val="Heading1"/>
        <w:spacing w:after="180" w:before="360"/>
      </w:pPr>
      <w:r>
        <w:rPr>
          <w:rFonts w:ascii="Calibri" w:cs="Calibri" w:eastAsia="Calibri" w:hAnsi="Calibri"/>
          <w:b/>
          <w:bCs/>
          <w:color w:val="B95C00"/>
          <w:sz w:val="36"/>
          <w:szCs w:val="36"/>
        </w:rPr>
        <w:t xml:space="preserve">5. Caz 3. SIS II</w:t>
      </w:r>
    </w:p>
    <w:p>
      <w:pPr>
        <w:pBdr>
          <w:bottom w:val="single" w:color="B95C00" w:sz="24" w:space="1"/>
        </w:pBdr>
        <w:spacing w:after="180" w:before="0"/>
      </w:pPr>
      <w:r>
        <w:rPr>
          <w:rFonts w:ascii="Calibri" w:cs="Calibri" w:eastAsia="Calibri" w:hAnsi="Calibri"/>
          <w:sz w:val="2"/>
          <w:szCs w:val="2"/>
        </w:rPr>
        <w:t xml:space="preserve"/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Prezentare succintă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SIS II este cazul-școală pentru „arhitectură care evoluează fără ancoră”. Folosiți-l pentru a preda fazele TOGAF ADM (Architecture Development Method) într-o situație reală: studenții mapează fiecare fază ADM pe un moment-cheie din cronologie și identifică ce artefact arhitectural lipsea.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Durată și obiective didactice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</w:rPr>
        <w:t xml:space="preserve">75 minute (20 min citire + 35 min lucru + 20 min debrief cu cronologie pe whiteboard)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Cursanții disting între decizia arhitecturală și decizia contractuală/comercială.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Cursanții mapează fazele TOGAF ADM pe momentele-cheie ale proiectului.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Cursanții identifică 3–5 artefacte TOGAF specifice (Architecture Vision, Architecture Principles, Gap Analysis, Architecture Contract, Implementation Governance Model) care ar fi schimbat traiectoria.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Întrebări ajutătoare (pentru moment-ele în care cursanții se blochează)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Folosiți aceste întrebări STRICT ca re-direcționare; nu confirmați și nu infirmați direct răspunsul studentului.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1. Dacă ați fi fost Enterprise Architect al SIS II în 2005, ce artefact ați fi cerut să existe înainte de a lansa licitația pentru contractul principal?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2. Un contract comercial și un Architecture Contract (în sensul TOGAF) — care este diferența? Ce ar fi schimbat prezența celui de-al doilea în relația Comisie–HPS?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3. De ce GPMB a fost creat abia în 2010, și nu în 2004? Ce rol specific ar fi trebuit să îndeplinească înainte de contractare?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4. Dacă fiecare Stat Membru are componenta sa N.SIS II, cine decide arhitectura-țintă comună? Cum se ia această decizie fără un Architecture Board?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5. Diferența între „cerințe funcționale” și „Principii de Arhitectură” — dați un exemplu concret din SIS II.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6. Faza A (Architecture Vision) din TOGAF ADM — ce ar fi trebuit să conțină pentru SIS II? Ce lipsea din business case-ul inițial?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Cheie de răspuns — cauze-rădăcină plauzibile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Acestea sunt cauzele pe care cursanții ar trebui să le poată identifica, integral sau parțial, pornind de la fapte. Dacă un grup identifică o cauză pe care noi nu am listat-o și o susține cu fapte din fișă, este valid — nu o respingeți.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1. Lipsa unei Viziuni Arhitecturale (TOGAF Phase A) confirmată cu toate Statele Membre înainte de contractare. Business case-ul inițial nu a fost niciodată recalibrat complet când Comisia a preluat răspunderea.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2. Absența unor Principii de Arhitectură agreate (TOGAF Preliminary Phase). Fiecare Stat Membru avea așteptări diferite, tratate ca „detalii de implementare”.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3. Arhitecturi de Business, Date, Aplicație și Tehnologie (Phases B-D) instabile. Cerințele s-au modificat continuu fără un document ADM care să le ancoreze.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4. Gestionarea contractului ca tranzacție comercială, nu ca Architecture Contract. Amendamentele succesive au adăugat cerințe fără analiză de impact pe arhitectura țintă.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5. Absența unui Architecture Board dedicat proiectului. GPMB-ul a apărut ad-hoc, în 2010, după 3 ani de deriv — rol pe care un Architecture Board ar fi trebuit să-l joace de la Phase A.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6. Gap Analysis (TOGAF Phase E) nerealizat formal. Nu s-a măsurat niciodată distanța între Baseline Architecture (SIS 1+) și Target Architecture (SIS II) într-un mod disciplinat.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Cheie de răspuns — maparea pe TOGAF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1. Preliminary Phase: Architecture Principles comune Comisiei și celor 28 de State Membre (exemplu: „Sovereignty of national data, common semantic layer, sub-second alert replication”).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2. Phase A (Architecture Vision): document oficial aprobat de Consiliu înainte de lansarea licitației HPS — ce face SIS II, ce nu face, cine folosește, cum se măsoară succesul.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3. Phases B, C, D (Business, Data, Application, Technology Architecture): arhitecturi țintă stabile, cu versionare formală. Orice modificare majoră trece prin Architecture Board.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4. Phase E (Opportunities &amp; Solutions) și Phase F (Migration Planning): roadmap de tranziție SIS 1+ → SIS II cu arhitecturi intermediare (Transition Architectures).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5. Architecture Contract cu HPS: contract care include obligații privind conformitatea cu arhitectura țintă, nu doar livrabile funcționale. Orice abatere → proces de schimbare arhitecturală.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6. Architecture Governance prin Architecture Board cu reprezentare Comisie + State Membre. Decizia arhitecturală separată de decizia politică/comercială.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7. Compliance Assessments (Phase G): review-uri periodice de conformitate a livrărilor HPS cu arhitectura țintă.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Capcane comune ale cursanților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Cursanții pot reduce TOGAF la „un set de documente de arhitectură”. Subliniați: TOGAF este ADM + Architecture Governance, nu doar livrabile.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Confuzie între „Arhitect de soluție” și „Enterprise Architect”. SIS II a avut probabil mulți arhitecți de soluție; problema era absența rolului de Enterprise Architect.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Unii vor propune „mai bine administrat contractul”. Contra: problema nu era contract management-ul ca disciplină; era lipsa ancorei arhitecturale în jurul căreia se gestionează contractul.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Tentația de a spune „dacă ar fi fost Agile, s-ar fi rezolvat”. Contra: Agile și TOGAF nu se exclud — dar într-un sistem cu 28 de State Membre, ancora arhitecturală este pre-condiție pentru orice iterație.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Puncte pentru debrief în plen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Compararea cu Cazul 4 (Customs IT): ambele eșuează prin lipsa unei arhitecturi de portofoliu, dar SIS II este un sistem, UCC este un portofoliu de 17 sisteme.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Desenați împreună cronologia pe whiteboard și întrebați: „La acest moment, ce fază ADM trebuia activă? Ce artefact trebuia să existe?”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Exercițiu de aplicare MAI: într-un proiect de interconectare a sistemelor MAI cu alte ministere, care sunt primele 3 Principii de Arhitectură pe care le-ați propune înainte de contractare?</w:t>
      </w:r>
    </w:p>
    <w:p>
      <w:r>
        <w:br w:type="page"/>
      </w:r>
    </w:p>
    <w:p>
      <w:pPr>
        <w:pStyle w:val="Heading1"/>
        <w:spacing w:after="180" w:before="360"/>
      </w:pPr>
      <w:r>
        <w:rPr>
          <w:rFonts w:ascii="Calibri" w:cs="Calibri" w:eastAsia="Calibri" w:hAnsi="Calibri"/>
          <w:b/>
          <w:bCs/>
          <w:color w:val="B95C00"/>
          <w:sz w:val="36"/>
          <w:szCs w:val="36"/>
        </w:rPr>
        <w:t xml:space="preserve">6. Caz 4. Sistemele IT ale Uniunii Vamale UE (Codul Vamal al Uniunii</w:t>
      </w:r>
    </w:p>
    <w:p>
      <w:pPr>
        <w:pBdr>
          <w:bottom w:val="single" w:color="B95C00" w:sz="24" w:space="1"/>
        </w:pBdr>
        <w:spacing w:after="180" w:before="0"/>
      </w:pPr>
      <w:r>
        <w:rPr>
          <w:rFonts w:ascii="Calibri" w:cs="Calibri" w:eastAsia="Calibri" w:hAnsi="Calibri"/>
          <w:sz w:val="2"/>
          <w:szCs w:val="2"/>
        </w:rPr>
        <w:t xml:space="preserve"/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Prezentare succintă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UCC este cazul-școală pentru „portofoliu arhitectural fără arhitect de portofoliu”. Spre deosebire de SIS II (un sistem), aici aveți 17. Folosiți acest caz pentru a preda Architecture Landscape, Transition Architectures și Architecture Repository la scară de program.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Durată și obiective didactice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</w:rPr>
        <w:t xml:space="preserve">75 minute (15 min citire + 40 min lucru în grupuri pe matrici de dependențe + 20 min debrief)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Cursanții înțeleg diferența între arhitectura unui sistem și arhitectura unui portofoliu de sisteme interconectate.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Cursanții schițează o matrice simplă de dependențe între 5–7 sisteme vamale fictive.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Cursanții formulează 2–3 Principii de Arhitectură pentru portofoliu și 1–2 Transition Architectures pentru 2020.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Întrebări ajutătoare (pentru moment-ele în care cursanții se blochează)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Folosiți aceste întrebări STRICT ca re-direcționare; nu confirmați și nu infirmați direct răspunsul studentului.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1. Dacă am avea doar 5 sisteme (nu 17), cum am descrie interdependențele lor? Cum arată o matrice 5x5 a fluxurilor de date?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2. Cine este „proprietarul arhitectural” al portofoliului celor 17 sisteme? Există un rol formal de acest tip?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3. O modificare în sistemul „A” (declarații import) ce efecte propagă spre sistemul „B” (garanții)? Cine efectuează această analiză de impact?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4. Diferența între Baseline Architecture și Target Architecture — puteți desena pentru UCC (chiar simplificat) pe o diagramă?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5. Dacă termenul final e 2020 și suntem în 2017, care este „Transition Architecture” rezonabilă pentru finalul lui 2018? Dar pentru 2019?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6. Ce Principii de Arhitectură ar reduce variabilitatea în interpretarea cerințelor UCC de către 27 de State Membre?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Cheie de răspuns — cauze-rădăcină plauzibile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Acestea sunt cauzele pe care cursanții ar trebui să le poată identifica, integral sau parțial, pornind de la fapte. Dacă un grup identifică o cauză pe care noi nu am listat-o și o susține cu fapte din fișă, este valid — nu o respingeți.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1. Absența unei Arhitecturi de Portofoliu. Cele 17 sisteme sunt gestionate individual; nu există o hartă vie a dependențelor, întreținută la nivel de program Customs 2020.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2. Fără Baseline → Target → Transition Architectures. Nu există o cale explicită, cu jaloane intermediare, între starea 2016 și starea-țintă 2020.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3. Principii de Arhitectură insuficiente pentru a disciplina cele 27 de implementări naționale. Fiecare stat interpretează cerințele UCC cu grade diferite de libertate.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4. Guvernanță arhitecturală amalgamată cu guvernanța politică și operațională. Deciziile de arhitectură se iau în aceleași forumuri în care se negociază politica vamală sau alocarea bugetelor.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5. Estimarea resurselor pe proiect individual, nu pe portofoliu. Efectele de cumul (dependențe de aceiași experți, aceleași infrastructuri) sunt invizibile.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6. Architecture Change Management neformalizat. Modificările de scop ale unui sistem individual nu declanșează analiză arhitecturală pentru celelalte 16.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Cheie de răspuns — maparea pe TOGAF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1. Architecture Repository + Architecture Landscape: o bază vie a celor 17 sisteme, starea fiecăruia (Baseline / Target / Transition), cu dependențele inter-sisteme vizibile.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2. Architecture Vision comună pentru portofoliu, aprobată la nivel politic, care să ancoreze toate deciziile individuale de proiect.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3. Principii de Arhitectură aplicabile tuturor celor 27 de State Membre (exemplu: „Single semantic model for customs declarations”, „API-first integration between Union and national components”).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4. Transition Architectures trimestriale sau anuale între 2016 și 2020: la finalul lui 2017, ce trebuie să fie operațional? La finalul lui 2018? Permit măsurarea progresului real.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5. Capability Assessment pentru fiecare Stat Membru: ce maturitate are, ce suport are nevoie să ajungă la Target Architecture.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6. Implementation Governance Model care separă Architecture Board (decizii tehnico-arhitecturale) de comitetele politice (decizii de politică vamală).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7. Architecture Change Management formal: orice modificare de scop a unui sistem trece printr-un impact assessment pe celelalte 16.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Capcane comune ale cursanților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Cursanții pot încerca să „proiecteze” cele 17 sisteme. Re-direcționați: nu e nevoie să știi toate sistemele; e nevoie să știi să gestionezi portofoliul lor ca entitate arhitecturală.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Confuzie între „integrare tehnică” (API-uri) și „arhitectură de portofoliu”. Un portofoliu bine arhitecturat permite API-uri care funcționează; invers nu este adevărat.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Tentația de „mai multe comitete”. Contra: UCC avea deja multe. Problema era separarea rolurilor, nu multiplicarea lor.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Unii vor spune „Agile ar fi rezolvat”. Contra: Agile este la nivel de echipă/sistem. Într-un portofoliu de 17 sisteme × 27 State Membre, ai nevoie întâi de ancoră arhitecturală, apoi poți agiliza sub-unitățile.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Puncte pentru debrief în plen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Desenați pe whiteboard o matrice 5x5 fictivă, apoi 7x7, și arătați cum complexitatea arhitecturală crește exponențial.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Aplicație MAI: portofoliul IT al MAI (pașapoarte, permise, evidența populației, SIS, SIENA etc.) — câte sisteme sunt? Există o arhitectură de portofoliu documentată?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Discuție deschisă: un proiect Customs 2020 „relansat” din 2016 — ce primele 3 artefacte ați livra în prima săptămână?</w:t>
      </w:r>
    </w:p>
    <w:p>
      <w:r>
        <w:br w:type="page"/>
      </w:r>
    </w:p>
    <w:p>
      <w:pPr>
        <w:pStyle w:val="Heading1"/>
        <w:spacing w:after="180" w:before="360"/>
      </w:pPr>
      <w:r>
        <w:rPr>
          <w:rFonts w:ascii="Calibri" w:cs="Calibri" w:eastAsia="Calibri" w:hAnsi="Calibri"/>
          <w:b/>
          <w:bCs/>
          <w:color w:val="2F7A2F"/>
          <w:sz w:val="36"/>
          <w:szCs w:val="36"/>
        </w:rPr>
        <w:t xml:space="preserve">7. Caz 5. Galileo</w:t>
      </w:r>
    </w:p>
    <w:p>
      <w:pPr>
        <w:pBdr>
          <w:bottom w:val="single" w:color="2F7A2F" w:sz="24" w:space="1"/>
        </w:pBdr>
        <w:spacing w:after="180" w:before="0"/>
      </w:pPr>
      <w:r>
        <w:rPr>
          <w:rFonts w:ascii="Calibri" w:cs="Calibri" w:eastAsia="Calibri" w:hAnsi="Calibri"/>
          <w:sz w:val="2"/>
          <w:szCs w:val="2"/>
        </w:rPr>
        <w:t xml:space="preserve"/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Prezentare succintă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Galileo este cazul-școală de guvernanță IT slabă într-un program strategic multi-actor. Folosiți-l pentru a preda COBIT 2019 — în special obiectivele EDM (Evaluate, Direct, Monitor) și distincția dintre Governance și Management. Cazul oferă și o paralelă cu situația tipică de digitalizare guvernamentală inter-instituțională.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Durată și obiective didactice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</w:rPr>
        <w:t xml:space="preserve">75 minute (20 min citire + 35 min lucru cu lista obiectivelor COBIT + 20 min debrief)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Cursanții disting între Governance (EDM) și Management (APO, BAI, DSS, MEA) în COBIT 2019.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Cursanții identifică 5–7 obiective COBIT specifice care adresează cauzele-rădăcină ale cazului.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Cursanții formulează o RACI matrix simplificată pentru un program public multi-actor, inspirată de lecțiile Galileo.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Întrebări ajutătoare (pentru moment-ele în care cursanții se blochează)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Folosiți aceste întrebări STRICT ca re-direcționare; nu confirmați și nu infirmați direct răspunsul studentului.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1. Dacă ați întreba fiecare dintre cele 4 entități (Comisie, ESA, State Membre, GJU) cine e responsabil pentru livrarea la timp a Galileo — ce răspunsuri credeți că ați primi?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2. Care e diferența între „a guverna un program IT” și „a-l administra”? Unde se trasează linia?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3. Un registru de risc bun ar fi prevenit întârzierile Galileo? Dați un exemplu concret de risc care ar fi trebuit escaladat.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4. „Viziune strategică pe termen lung” — ce artefact concret ar materializa asta pentru Galileo?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5. COBIT 2019 are 40 de obiective; EDM01 este primul. De ce credeți că a fost plasat primul?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6. Într-un proiect unde deciziile se iau „de la un Consiliu la altul”, ce obiectiv COBIT este direct ignorat?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Cheie de răspuns — cauze-rădăcină plauzibile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Acestea sunt cauzele pe care cursanții ar trebui să le poată identifica, integral sau parțial, pornind de la fapte. Dacă un grup identifică o cauză pe care noi nu am listat-o și o susține cu fapte din fișă, este valid — nu o respingeți.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1. Roluri neclare între Comisie, ESA, State Membre și GJU. Lipsa unui cadru formal de guvernanță agreat între toate părțile, cu RACI explicit.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2. Absența unei viziuni strategice pe termen lung stabilă. Obiectivele se modificau la fiecare Consiliu; nu exista un document „North Star” intangibil.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3. Gestiunea reactivă a riscurilor. Fără registru de risc programatic, fără praguri de escaladare, fără planuri de răspuns pre-aprobate.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4. Beneficii strategice nedefinite măsurabil. Succesul se echivala cu „lansarea sateliților”, nu cu „adoptarea serviciilor de către utilizatorii finali” — ulterior confirmat de ECA 7/2021.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5. Cadență decizională nepotrivită. Decizii majore doar la reuniunile Consiliului (la 6–12 luni), fără un proces tehnic continuu de pregătire și implementare.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6. Accountability difuz. În caz de problemă, fiecare entitate arăta spre alta — fără un owner unic pe obiectiv strategic.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Cheie de răspuns — maparea pe COBIT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1. EDM01 (Ensured Governance Framework Setting and Maintenance) → stabilirea formală a rolurilor între Comisie, ESA, SM, GJU, cu acord semnat înainte de lansarea fazei de dezvoltare.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2. EDM02 (Ensured Benefits Delivery) → definire și urmărire de beneficii strategice (nu doar livrabile): număr de utilizatori instituționali activi, integrare în sectoarele-țintă, economie vs. dependența de GPS.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3. EDM03 (Ensured Risk Optimisation) → registru de risc programatic, praguri de escaladare automată, apetit de risc agreat la nivel politic.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4. EDM04 (Ensured Resource Optimisation) → urmărire consolidată a resurselor umane și financiare pe toate cele 4 entități, evitând dublările sau goluri.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5. EDM05 (Ensured Stakeholder Engagement) → transparență structurată față de Parlament, industrie, State Membre — raportare periodică.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6. APO01 (Managed I&amp;T Management Framework) → separare formală Governance (Consiliu/Comisie) vs. Management (ESA/GSA pe operațiuni tehnice).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7. APO12 (Managed Risk) → management operațional al riscurilor cu cadență regulată, alimentând EDM03.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8. BAI01 (Managed Programs) → Galileo reconceput ca program multi-fazat cu gate-uri clare și metrici de tranziție între faze.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Capcane comune ale cursanților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Cursanții pot reduce cazul la „lipsă de leadership politic”. Contra: COBIT oferă instrumente chiar și în contexte politice complexe; absența lor e observabilă.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Tentația de a confunda Governance și Management. Scrieți pe whiteboard cele două coloane și forțați clasificarea obiectivelor COBIT.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Unii vor propune „un director general al programului” ca soluție. Contra: Galileo avea deja mulți directori. Problema e structura RACI, nu numărul de șefi.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Confuzia între „raport către Consiliu” și „guvernanță”. Raportarea e output de guvernanță, nu guvernanța însăși.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Puncte pentru debrief în plen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Paralelă cu Louvois (Caz 6): ambele eșecuri de guvernanță, dar la scale diferite (european vs. național), cu consecințe diferite.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Exercițiu de generalizare: dați cursanților 3 scenarii MAI (cooperare cu ANAF, cu ME, cu Sănătate) și cereți-le să definească matricea RACI.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Întrebare deschisă: COBIT 2019 oferă instrumente — dar implementarea lor depinde de voința politică. Cum se creează acea voință? Exemple reușite?</w:t>
      </w:r>
    </w:p>
    <w:p>
      <w:r>
        <w:br w:type="page"/>
      </w:r>
    </w:p>
    <w:p>
      <w:pPr>
        <w:pStyle w:val="Heading1"/>
        <w:spacing w:after="180" w:before="360"/>
      </w:pPr>
      <w:r>
        <w:rPr>
          <w:rFonts w:ascii="Calibri" w:cs="Calibri" w:eastAsia="Calibri" w:hAnsi="Calibri"/>
          <w:b/>
          <w:bCs/>
          <w:color w:val="2F7A2F"/>
          <w:sz w:val="36"/>
          <w:szCs w:val="36"/>
        </w:rPr>
        <w:t xml:space="preserve">8. Caz 6. Louvois</w:t>
      </w:r>
    </w:p>
    <w:p>
      <w:pPr>
        <w:pBdr>
          <w:bottom w:val="single" w:color="2F7A2F" w:sz="24" w:space="1"/>
        </w:pBdr>
        <w:spacing w:after="180" w:before="0"/>
      </w:pPr>
      <w:r>
        <w:rPr>
          <w:rFonts w:ascii="Calibri" w:cs="Calibri" w:eastAsia="Calibri" w:hAnsi="Calibri"/>
          <w:sz w:val="2"/>
          <w:szCs w:val="2"/>
        </w:rPr>
        <w:t xml:space="preserve"/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Prezentare succintă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Louvois este cazul-școală de „absență totală de guvernanță IT” într-un program strategic național. Folosiți-l pentru a preda COBIT 2019 într-un context concret — în special triada EDM02 (Benefits), EDM03 (Risk), BAI07 (Go-Live) și combinația DSS02/BAI06 pentru incidentele masive post-launch. Este cazul în care Go-Live-ul ar fi trebuit oprit prin criterii COBIT.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Durată și obiective didactice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</w:rPr>
        <w:t xml:space="preserve">75 minute (20 min citire + 35 min lucru pe „Go-No-Go Checklist” + 20 min debrief)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Cursanții schițează un set de criterii Go-No-Go inspirate din BAI07 care ar fi blocat lansarea Louvois în 2011.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Cursanții redactează o fișă de risc retrospectivă APO12 pentru 2010 (anul pre-Go-Live).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Cursanții identifică 5–6 obiective COBIT care adresează cauzele-rădăcină.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Întrebări ajutătoare (pentru moment-ele în care cursanții se blochează)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Folosiți aceste întrebări STRICT ca re-direcționare; nu confirmați și nu infirmați direct răspunsul studentului.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1. Dacă ați fi fost CIO al Ministerului Apărării în octombrie 2010, ce 5 criterii ați fi cerut să fie îndeplinite înainte de a aproba lansarea Louvois în producție?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2. Regulile salariale diferite între cele 3 forțe sunt „detaliu de implementare” sau „problemă arhitecturală și de guvernanță”? Argumentați.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3. Care este riscul numărul 1 al unui sistem de plată a salariilor? Apare el într-un registru de risc formal înainte de Go-Live?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4. Dacă mii de reclamații se acumulează lunar după lansare, cine, cum și când declanșează o decizie de „stop”?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5. „Economii administrative prin unificare” este un beneficiu — cum l-ați face măsurabil? Ce KPI ați urmări?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6. Compania privată ar fi oprit producția imediat. Ce împiedică un minister să facă la fel? Ce mecanism COBIT poate suplini?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Cheie de răspuns — cauze-rădăcină plauzibile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Acestea sunt cauzele pe care cursanții ar trebui să le poată identifica, integral sau parțial, pornind de la fapte. Dacă un grup identifică o cauză pe care noi nu am listat-o și o susține cu fapte din fișă, este valid — nu o respingeți.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1. Guvernanță inexistentă la nivel de program: nicio structură unică peste cele 3 forțe, nicio autoritate de escaladare rapidă.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2. Management al riscului absent. Riscul catastrofal „erori de plată în masă” nu era înregistrat, evaluat și nu avea plan de răspuns pre-aprobat.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3. Criterii Go-No-Go absente sau ignorate. La lansarea din 2011 nu există dovezi ale unor criterii UAT/rollback/monitoring îndeplinite formal.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4. Niciun mecanism de „stop-the-line” post-Go-Live. Reclamațiile masive nu au declanșat o escaladare automată spre decidenți.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5. Beneficii nedefinite și nemăsurate. Economiile promise nu aveau KPI; nu exista un „benefit realization plan”.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6. Divergențe salariale între forțe tratate ca detalii tehnice, deși erau o problemă de guvernanță strategică (cine stabilește regulile unificate?).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7. Dezvoltare excesiv de lungă (15 ani) fără livrări intermediare validate în producție.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Cheie de răspuns — maparea pe COBIT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1. EDM01 (Ensured Governance Framework) → structură unică de guvernanță peste cele 3 forțe, cu autoritate formală de a opri sau continua programul.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2. EDM02 (Ensured Benefits Delivery) → definirea și măsurarea beneficiilor (economii administrative, reducerea timpului de calcul, rata de erori de plată) cu KPI trimestriali.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3. EDM03 (Ensured Risk Optimisation) → clasificarea „erorilor masive de plată” drept risc strategic major, cu apetit de risc zero, praguri de escaladare clare.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4. APO12 (Managed Risk) → registru de risc programatic, actualizat trimestrial, alimentând EDM03.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5. BAI01 (Managed Programs) → program multi-fazat cu gate-uri intermediare, nu 15 ani de dezvoltare urmate de un Go-Live big-bang.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6. BAI07 (Managed IT Change Acceptance and Transitioning) → criterii stricte Go-No-Go înainte de lansare: UAT complet, plan de rollback, monitoring post-launch cu praguri de oprire automate.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7. BAI06 (Managed IT Changes) + DSS02 (Managed Service Requests and Incidents) → incidentele masive (mii de reclamații) generează automat un semnal „stop-the-line” la nivel de program.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8. MEA01 (Managed Performance and Conformance Monitoring) → monitorizarea permanentă a acurateței soldelor, cu dashboard vizibil până la nivelul ministerului.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9. MEA03 (Managed Compliance With External Requirements) → verificarea permanentă a conformității cu legislația privind plata militarilor; escaladare automată la non-conformitate.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Capcane comune ale cursanților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Cursanții pot spune „dacă ar fi fost Agile, s-ar fi rezolvat”. Contra: Agile e relevant pentru dezvoltare; Louvois a eșuat catastrofal la Go-Live și post-Go-Live, moment în care COBIT e metodologia dominantă.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Tentația de a blama furnizorul. Contra: 15 ani de proiect, multipli furnizori, o singură lipsă constantă — guvernanța.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Confuzie între „testare în staging” și „UAT formal cu criterii Go-No-Go”. Subliniați: UAT este un proces formal cu aprobare, nu „o perioadă de testare”.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Unii vor propune „mai multe testări”. Contra: problema nu era cantitatea de testare, ci absența criteriilor formale de Go-No-Go aprobate de decident.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2A44"/>
          <w:sz w:val="28"/>
          <w:szCs w:val="28"/>
        </w:rPr>
        <w:t xml:space="preserve">Puncte pentru debrief în plen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Paralelă cu Galileo (Caz 5): ambele eșecuri de guvernanță — Galileo la nivel strategic european, Louvois la nivel operațional național.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Discuție aplicată MAI: un sistem de plată a soldelor/indemnizațiilor în MAI — ce criterii Go-No-Go ar fi obligatorii? Cine le aprobă?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Întrebare deschisă: un sistem de plată nu poate fi oprit (salariile se plătesc lunar). Cum se face atunci un rollback? Ce prevede BAI07 pentru sisteme „always-on”?</w:t>
      </w:r>
    </w:p>
    <w:p>
      <w:r>
        <w:br w:type="page"/>
      </w:r>
    </w:p>
    <w:p>
      <w:pPr>
        <w:pStyle w:val="Heading1"/>
        <w:spacing w:after="180" w:before="360"/>
      </w:pPr>
      <w:r>
        <w:rPr>
          <w:rFonts w:ascii="Calibri" w:cs="Calibri" w:eastAsia="Calibri" w:hAnsi="Calibri"/>
          <w:b/>
          <w:bCs/>
          <w:color w:val="1F2A44"/>
          <w:sz w:val="36"/>
          <w:szCs w:val="36"/>
        </w:rPr>
        <w:t xml:space="preserve">9. Închidere a sesiunii de studii de caz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După parcurgerea unuia sau mai multor cazuri, încheiați sesiunea cu 2–3 întrebări de sinteză: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Ce element comun apare la toate cazurile studiate astăzi? (răspuns așteptat: alinierea între strategie, execuție și feedback)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Care dintre cele trei metodologii — Agile, TOGAF, COBIT — ați considerat-o „cea mai evidentă” după exerciții? De ce? (răspuns personal; validați diversitatea)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Calibri" w:cs="Calibri" w:eastAsia="Calibri" w:hAnsi="Calibri"/>
          <w:sz w:val="22"/>
          <w:szCs w:val="22"/>
        </w:rPr>
        <w:t xml:space="preserve">Dacă ar fi să alegeți un singur principiu (din oricare din cele trei metodologii) pe care să-l aplicați începând de luni într-un proiect MAI, care ar fi?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</w:rPr>
        <w:t xml:space="preserve">Mesajul de închidere pentru cursanți (sugestie):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b w:val="false"/>
          <w:bCs w:val="false"/>
          <w:i/>
          <w:iCs/>
          <w:sz w:val="22"/>
          <w:szCs w:val="22"/>
        </w:rPr>
        <w:t xml:space="preserve">„Aceste eșecuri nu s-au produs pentru că liderii proiectelor erau incompetenți. S-au produs pentru că lipseau practici care, odată cunoscute, par evidente. Agile, TOGAF și COBIT nu sunt formule magice — sunt colecții de lecții învățate din eșecuri anterioare. Responsabilitatea noastră este să nu repetăm aceleași greșeli din motive similare.”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95959"/>
        <w:sz w:val="18"/>
        <w:szCs w:val="18"/>
      </w:rPr>
      <w:t xml:space="preserve">Pagina </w:t>
    </w:r>
    <w:r>
      <w:rPr>
        <w:rFonts w:ascii="Calibri" w:cs="Calibri" w:eastAsia="Calibri" w:hAnsi="Calibri"/>
        <w:color w:val="59595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595959"/>
        <w:sz w:val="18"/>
        <w:szCs w:val="18"/>
      </w:rPr>
      <w:t xml:space="preserve"> din </w:t>
    </w:r>
    <w:r>
      <w:rPr>
        <w:rFonts w:ascii="Calibri" w:cs="Calibri" w:eastAsia="Calibri" w:hAnsi="Calibri"/>
        <w:color w:val="59595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F7A2F" w:sz="8" w:space="1"/>
      </w:pBdr>
      <w:jc w:val="right"/>
    </w:pPr>
    <w:r>
      <w:rPr>
        <w:rFonts w:ascii="Calibri" w:cs="Calibri" w:eastAsia="Calibri" w:hAnsi="Calibri"/>
        <w:color w:val="595959"/>
        <w:sz w:val="18"/>
        <w:szCs w:val="18"/>
      </w:rPr>
      <w:t xml:space="preserve">Ghid formator — Studii de caz IT&amp;C UE   •   MAI IT&amp;C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Calibri" w:cs="Calibri" w:eastAsia="Calibri" w:hAnsi="Calibri"/>
      <w:b/>
      <w:bCs/>
      <w:color w:val="1F2A44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Calibri" w:cs="Calibri" w:eastAsia="Calibri" w:hAnsi="Calibri"/>
      <w:b/>
      <w:bCs/>
      <w:color w:val="1F2A44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Calibri" w:cs="Calibri" w:eastAsia="Calibri" w:hAnsi="Calibri"/>
      <w:b/>
      <w:bCs/>
      <w:color w:val="1F2A44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Ghid formator — Studii de caz IT&amp;C UE</dc:title>
  <dc:creator>Trainer MAI IT&amp;C</dc:creator>
  <dc:description>Material de curs MAI IT&amp;C 2026</dc:description>
  <cp:lastModifiedBy>Un-named</cp:lastModifiedBy>
  <cp:revision>1</cp:revision>
  <dcterms:created xsi:type="dcterms:W3CDTF">2026-04-18T11:20:25.301Z</dcterms:created>
  <dcterms:modified xsi:type="dcterms:W3CDTF">2026-04-18T11:20:25.301Z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